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9DCA70" w14:textId="77777777" w:rsidR="003547D1" w:rsidRDefault="00000000">
      <w:pPr>
        <w:pStyle w:val="Title"/>
        <w:keepLines/>
        <w:widowControl/>
        <w:ind w:firstLine="713"/>
      </w:pPr>
      <w:r>
        <w:t>Virginia Regulatory Assessment Template</w:t>
      </w:r>
    </w:p>
    <w:p w14:paraId="746BFBE8" w14:textId="77777777" w:rsidR="003547D1" w:rsidRDefault="003547D1">
      <w:pPr>
        <w:pStyle w:val="Title"/>
        <w:keepLines/>
        <w:widowControl/>
        <w:ind w:firstLine="713"/>
        <w:jc w:val="left"/>
        <w:rPr>
          <w:sz w:val="24"/>
          <w:szCs w:val="24"/>
        </w:rPr>
      </w:pPr>
    </w:p>
    <w:p w14:paraId="6DABEF96" w14:textId="77777777" w:rsidR="003547D1" w:rsidRDefault="00000000">
      <w:pPr>
        <w:pStyle w:val="Title"/>
        <w:keepLines/>
        <w:widowControl/>
        <w:ind w:left="180"/>
        <w:jc w:val="left"/>
        <w:rPr>
          <w:sz w:val="22"/>
          <w:szCs w:val="22"/>
        </w:rPr>
      </w:pPr>
      <w:r>
        <w:rPr>
          <w:b/>
          <w:sz w:val="22"/>
          <w:szCs w:val="22"/>
        </w:rPr>
        <w:t>Instructions:</w:t>
      </w:r>
    </w:p>
    <w:p w14:paraId="78133484" w14:textId="77777777" w:rsidR="003547D1" w:rsidRDefault="00000000">
      <w:pPr>
        <w:pStyle w:val="Title"/>
        <w:keepLines/>
        <w:widowControl/>
        <w:numPr>
          <w:ilvl w:val="0"/>
          <w:numId w:val="1"/>
        </w:numPr>
        <w:jc w:val="left"/>
        <w:rPr>
          <w:sz w:val="22"/>
          <w:szCs w:val="22"/>
        </w:rPr>
      </w:pPr>
      <w:r>
        <w:rPr>
          <w:sz w:val="22"/>
          <w:szCs w:val="22"/>
        </w:rPr>
        <w:t xml:space="preserve">Select one (1) “performance area” or outcome from the following set to evaluate how </w:t>
      </w:r>
      <w:r>
        <w:rPr>
          <w:sz w:val="22"/>
          <w:szCs w:val="22"/>
          <w:u w:val="single"/>
        </w:rPr>
        <w:t>existing</w:t>
      </w:r>
      <w:r>
        <w:rPr>
          <w:sz w:val="22"/>
          <w:szCs w:val="22"/>
        </w:rPr>
        <w:t xml:space="preserve"> regulatory mechanisms in Virginia support (incentivize) the achievement of that outcome or disincentivize the achievement of the outcome. Consider this question for each regulatory mechanism identified in the template, and for the overall performance of Virginia’s utility regulatory structure to support (or hinder) that outcome (performance area).</w:t>
      </w:r>
    </w:p>
    <w:p w14:paraId="13D2A2DE" w14:textId="77777777" w:rsidR="003547D1" w:rsidRDefault="00000000">
      <w:pPr>
        <w:pStyle w:val="Title"/>
        <w:keepLines/>
        <w:widowControl/>
        <w:numPr>
          <w:ilvl w:val="0"/>
          <w:numId w:val="1"/>
        </w:numPr>
        <w:jc w:val="left"/>
        <w:rPr>
          <w:sz w:val="22"/>
          <w:szCs w:val="22"/>
        </w:rPr>
      </w:pPr>
      <w:r>
        <w:rPr>
          <w:sz w:val="22"/>
          <w:szCs w:val="22"/>
        </w:rPr>
        <w:t xml:space="preserve">Each stakeholder should complete worksheets for </w:t>
      </w:r>
      <w:r>
        <w:rPr>
          <w:sz w:val="22"/>
          <w:szCs w:val="22"/>
          <w:highlight w:val="yellow"/>
        </w:rPr>
        <w:t>at least two performance areas</w:t>
      </w:r>
      <w:r>
        <w:rPr>
          <w:sz w:val="22"/>
          <w:szCs w:val="22"/>
        </w:rPr>
        <w:t xml:space="preserve"> of their choosing. Additional (more than two) performance areas can be evaluated in additional worksheets, at your discretion.</w:t>
      </w:r>
    </w:p>
    <w:p w14:paraId="12BEDC51" w14:textId="77777777" w:rsidR="003547D1" w:rsidRDefault="003547D1"/>
    <w:p w14:paraId="3F16D5B5" w14:textId="77777777" w:rsidR="003547D1" w:rsidRDefault="00000000">
      <w:pPr>
        <w:pStyle w:val="Title"/>
        <w:keepLines/>
        <w:widowControl/>
        <w:spacing w:before="120"/>
        <w:ind w:left="0"/>
        <w:jc w:val="left"/>
        <w:rPr>
          <w:b/>
          <w:sz w:val="20"/>
          <w:szCs w:val="20"/>
        </w:rPr>
      </w:pPr>
      <w:bookmarkStart w:id="0" w:name="_heading=h.7cbs0rxdwpa6" w:colFirst="0" w:colLast="0"/>
      <w:bookmarkEnd w:id="0"/>
      <w:r>
        <w:rPr>
          <w:b/>
          <w:sz w:val="20"/>
          <w:szCs w:val="20"/>
        </w:rPr>
        <w:t xml:space="preserve">Cost-efficient utility investments and operations and affordability </w:t>
      </w:r>
    </w:p>
    <w:p w14:paraId="6A116920" w14:textId="77777777" w:rsidR="003547D1" w:rsidRDefault="003547D1">
      <w:pPr>
        <w:keepLines/>
        <w:widowControl/>
        <w:spacing w:line="223" w:lineRule="auto"/>
        <w:rPr>
          <w:b/>
          <w:sz w:val="20"/>
          <w:szCs w:val="20"/>
        </w:rPr>
      </w:pPr>
    </w:p>
    <w:p w14:paraId="38FAF1CD" w14:textId="57C86960" w:rsidR="003547D1" w:rsidRDefault="00000000">
      <w:pPr>
        <w:keepLines/>
        <w:spacing w:line="276" w:lineRule="auto"/>
        <w:rPr>
          <w:sz w:val="18"/>
          <w:szCs w:val="18"/>
        </w:rPr>
      </w:pPr>
      <w:r>
        <w:rPr>
          <w:sz w:val="18"/>
          <w:szCs w:val="18"/>
        </w:rPr>
        <w:t xml:space="preserve">One of the mandates in the enabling legislation is evaluating the potential of performance-based regulatory tools and alternative regulatory tools to assist in the regulation of investor-owned electric utilities by “(ii) enhancing cost-containment incentives.” This regulatory assessment shines light on how </w:t>
      </w:r>
      <w:r w:rsidR="0027433F">
        <w:rPr>
          <w:sz w:val="18"/>
          <w:szCs w:val="18"/>
        </w:rPr>
        <w:t>different mechanisms</w:t>
      </w:r>
      <w:r>
        <w:rPr>
          <w:sz w:val="18"/>
          <w:szCs w:val="18"/>
        </w:rPr>
        <w:t xml:space="preserve"> enhance or undermine cost-containment incentives for investor-owned utilities and how the system disincentivizes or </w:t>
      </w:r>
      <w:r w:rsidR="007F1D22">
        <w:rPr>
          <w:sz w:val="18"/>
          <w:szCs w:val="18"/>
        </w:rPr>
        <w:t>incentivizes</w:t>
      </w:r>
      <w:r>
        <w:rPr>
          <w:sz w:val="18"/>
          <w:szCs w:val="18"/>
        </w:rPr>
        <w:t xml:space="preserve"> cost-efficient utility investments. Since efficient utility management has a direct impact on affordability, this assessment also serves as an evaluation of the affordability performance area. </w:t>
      </w:r>
      <w:r>
        <w:rPr>
          <w:sz w:val="18"/>
          <w:szCs w:val="18"/>
        </w:rPr>
        <w:br/>
      </w:r>
    </w:p>
    <w:p w14:paraId="0E1B2502" w14:textId="77777777" w:rsidR="003547D1" w:rsidRDefault="00000000">
      <w:pPr>
        <w:keepLines/>
        <w:spacing w:line="276" w:lineRule="auto"/>
        <w:rPr>
          <w:sz w:val="18"/>
          <w:szCs w:val="18"/>
        </w:rPr>
      </w:pPr>
      <w:r>
        <w:rPr>
          <w:sz w:val="18"/>
          <w:szCs w:val="18"/>
        </w:rPr>
        <w:t>An electricity affordability crisis in Appalachian Power Company (APCo)’s service territory has been building for almost two decades. According to the State Corporation Commission (SCC), “APCo's typical monthly residential bill was $66.61 as of July 1, 2007. The bill has increased by $105.48 (158.36%) to $172.09 per month as of July 1, 2024.”</w:t>
      </w:r>
      <w:r>
        <w:rPr>
          <w:sz w:val="18"/>
          <w:szCs w:val="18"/>
          <w:vertAlign w:val="superscript"/>
        </w:rPr>
        <w:footnoteReference w:id="1"/>
      </w:r>
      <w:r>
        <w:rPr>
          <w:sz w:val="18"/>
          <w:szCs w:val="18"/>
        </w:rPr>
        <w:t xml:space="preserve"> Increasing electricity bills are a pressing regional issue in APCo territory. For Dominion Energy Virginia, “the typical monthly residential bill was $90.59 as of July 1, 2007. The bill has increased by $43.15 (47.63%) to $133.74 per month as of July 1, 2024.”</w:t>
      </w:r>
      <w:r>
        <w:rPr>
          <w:sz w:val="18"/>
          <w:szCs w:val="18"/>
          <w:vertAlign w:val="superscript"/>
        </w:rPr>
        <w:footnoteReference w:id="2"/>
      </w:r>
      <w:r>
        <w:rPr>
          <w:sz w:val="18"/>
          <w:szCs w:val="18"/>
        </w:rPr>
        <w:t xml:space="preserve"> For both utilities, the RAC component of the bill experienced the largest increase over this period. By year-end 2035, Dominion Energy projected in its 2024 IRP that a typical residential customer will pay $215.62, </w:t>
      </w:r>
      <w:proofErr w:type="gramStart"/>
      <w:r>
        <w:rPr>
          <w:sz w:val="18"/>
          <w:szCs w:val="18"/>
        </w:rPr>
        <w:t>assuming that</w:t>
      </w:r>
      <w:proofErr w:type="gramEnd"/>
      <w:r>
        <w:rPr>
          <w:sz w:val="18"/>
          <w:szCs w:val="18"/>
        </w:rPr>
        <w:t xml:space="preserve"> increased costs mostly associated with data center load growth are allocated to data center customers. Without that assumption, Dominion projects that the typical residential customer could end up paying $315.25 per month in 2035.</w:t>
      </w:r>
      <w:r>
        <w:rPr>
          <w:sz w:val="18"/>
          <w:szCs w:val="18"/>
          <w:vertAlign w:val="superscript"/>
        </w:rPr>
        <w:footnoteReference w:id="3"/>
      </w:r>
      <w:r>
        <w:rPr>
          <w:sz w:val="18"/>
          <w:szCs w:val="18"/>
        </w:rPr>
        <w:t xml:space="preserve"> These average bill increases affect households the most when electricity usage is higher in winter and summer months. Increasing electricity costs merit an evaluation of the current Virginia rate-making structure and its impact on cost-containment incentives. Finally, without a firm commitment by the utilities to energy efficiency and peak load reduction for residential customers, general price increases will continue undermining customer affordability during critical parts of the year when consumption is highest. </w:t>
      </w:r>
    </w:p>
    <w:p w14:paraId="426787E8" w14:textId="77777777" w:rsidR="003547D1" w:rsidRDefault="003547D1"/>
    <w:p w14:paraId="18D5A261" w14:textId="77777777" w:rsidR="003547D1" w:rsidRDefault="003547D1"/>
    <w:p w14:paraId="56C32792" w14:textId="77777777" w:rsidR="003547D1" w:rsidRDefault="003547D1"/>
    <w:p w14:paraId="17D1FF0F" w14:textId="77777777" w:rsidR="003547D1" w:rsidRDefault="00000000">
      <w:pPr>
        <w:pStyle w:val="Title"/>
        <w:keepLines/>
        <w:spacing w:before="120"/>
        <w:ind w:left="180"/>
        <w:jc w:val="left"/>
        <w:rPr>
          <w:i/>
          <w:sz w:val="22"/>
          <w:szCs w:val="22"/>
        </w:rPr>
      </w:pPr>
      <w:r>
        <w:rPr>
          <w:b/>
          <w:sz w:val="22"/>
          <w:szCs w:val="22"/>
        </w:rPr>
        <w:t>Reference Key:</w:t>
      </w:r>
      <w:r>
        <w:rPr>
          <w:sz w:val="22"/>
          <w:szCs w:val="22"/>
        </w:rPr>
        <w:t xml:space="preserve"> Performance Areas from </w:t>
      </w:r>
      <w:r>
        <w:rPr>
          <w:i/>
          <w:sz w:val="22"/>
          <w:szCs w:val="22"/>
        </w:rPr>
        <w:t>House Joint Resolution No. 30 / Senate Joint Resolution No. 47</w:t>
      </w:r>
    </w:p>
    <w:tbl>
      <w:tblPr>
        <w:tblStyle w:val="a2"/>
        <w:tblW w:w="1296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31"/>
        <w:gridCol w:w="6629"/>
      </w:tblGrid>
      <w:tr w:rsidR="003547D1" w14:paraId="217AC534" w14:textId="77777777">
        <w:tc>
          <w:tcPr>
            <w:tcW w:w="6331" w:type="dxa"/>
          </w:tcPr>
          <w:p w14:paraId="6E328EF4" w14:textId="77777777" w:rsidR="003547D1" w:rsidRDefault="00000000">
            <w:pPr>
              <w:pStyle w:val="Title"/>
              <w:keepLines/>
              <w:widowControl/>
              <w:spacing w:before="120"/>
              <w:ind w:left="0"/>
              <w:jc w:val="left"/>
              <w:rPr>
                <w:sz w:val="20"/>
                <w:szCs w:val="20"/>
              </w:rPr>
            </w:pPr>
            <w:r>
              <w:rPr>
                <w:sz w:val="20"/>
                <w:szCs w:val="20"/>
              </w:rPr>
              <w:t>Reliability and resiliency</w:t>
            </w:r>
          </w:p>
        </w:tc>
        <w:tc>
          <w:tcPr>
            <w:tcW w:w="6629" w:type="dxa"/>
          </w:tcPr>
          <w:p w14:paraId="24A322CC" w14:textId="77777777" w:rsidR="003547D1" w:rsidRDefault="00000000">
            <w:pPr>
              <w:pStyle w:val="Title"/>
              <w:keepLines/>
              <w:widowControl/>
              <w:spacing w:before="120"/>
              <w:ind w:left="0"/>
              <w:jc w:val="left"/>
              <w:rPr>
                <w:sz w:val="20"/>
                <w:szCs w:val="20"/>
              </w:rPr>
            </w:pPr>
            <w:r>
              <w:rPr>
                <w:sz w:val="20"/>
                <w:szCs w:val="20"/>
              </w:rPr>
              <w:t>Affordability for customers</w:t>
            </w:r>
          </w:p>
        </w:tc>
      </w:tr>
      <w:tr w:rsidR="003547D1" w14:paraId="5286CF65" w14:textId="77777777">
        <w:tc>
          <w:tcPr>
            <w:tcW w:w="6331" w:type="dxa"/>
          </w:tcPr>
          <w:p w14:paraId="7DEC0E3D" w14:textId="77777777" w:rsidR="003547D1" w:rsidRDefault="00000000">
            <w:pPr>
              <w:pStyle w:val="Title"/>
              <w:keepLines/>
              <w:widowControl/>
              <w:spacing w:before="120"/>
              <w:ind w:left="0"/>
              <w:jc w:val="left"/>
              <w:rPr>
                <w:sz w:val="20"/>
                <w:szCs w:val="20"/>
              </w:rPr>
            </w:pPr>
            <w:r>
              <w:rPr>
                <w:sz w:val="20"/>
                <w:szCs w:val="20"/>
              </w:rPr>
              <w:lastRenderedPageBreak/>
              <w:t>Emergency response and safety</w:t>
            </w:r>
          </w:p>
        </w:tc>
        <w:tc>
          <w:tcPr>
            <w:tcW w:w="6629" w:type="dxa"/>
          </w:tcPr>
          <w:p w14:paraId="63EB3CC2" w14:textId="77777777" w:rsidR="003547D1" w:rsidRDefault="00000000">
            <w:pPr>
              <w:pStyle w:val="Title"/>
              <w:keepLines/>
              <w:widowControl/>
              <w:spacing w:before="120"/>
              <w:ind w:left="0"/>
              <w:jc w:val="left"/>
              <w:rPr>
                <w:sz w:val="20"/>
                <w:szCs w:val="20"/>
              </w:rPr>
            </w:pPr>
            <w:r>
              <w:rPr>
                <w:sz w:val="20"/>
                <w:szCs w:val="20"/>
              </w:rPr>
              <w:t>Cost-efficient utility investments and operations</w:t>
            </w:r>
          </w:p>
        </w:tc>
      </w:tr>
      <w:tr w:rsidR="003547D1" w14:paraId="61619BA2" w14:textId="77777777">
        <w:tc>
          <w:tcPr>
            <w:tcW w:w="6331" w:type="dxa"/>
          </w:tcPr>
          <w:p w14:paraId="18CF2545" w14:textId="77777777" w:rsidR="003547D1" w:rsidRDefault="00000000">
            <w:pPr>
              <w:pStyle w:val="Title"/>
              <w:keepLines/>
              <w:widowControl/>
              <w:spacing w:before="120"/>
              <w:ind w:left="0"/>
              <w:jc w:val="left"/>
              <w:rPr>
                <w:sz w:val="20"/>
                <w:szCs w:val="20"/>
              </w:rPr>
            </w:pPr>
            <w:r>
              <w:rPr>
                <w:sz w:val="20"/>
                <w:szCs w:val="20"/>
              </w:rPr>
              <w:t>Peak demand reductions</w:t>
            </w:r>
          </w:p>
        </w:tc>
        <w:tc>
          <w:tcPr>
            <w:tcW w:w="6629" w:type="dxa"/>
          </w:tcPr>
          <w:p w14:paraId="5DD577CB" w14:textId="77777777" w:rsidR="003547D1" w:rsidRDefault="00000000">
            <w:pPr>
              <w:pStyle w:val="Title"/>
              <w:keepLines/>
              <w:widowControl/>
              <w:spacing w:before="120"/>
              <w:ind w:left="0"/>
              <w:jc w:val="left"/>
              <w:rPr>
                <w:sz w:val="20"/>
                <w:szCs w:val="20"/>
              </w:rPr>
            </w:pPr>
            <w:r>
              <w:rPr>
                <w:sz w:val="20"/>
                <w:szCs w:val="20"/>
              </w:rPr>
              <w:t>Maximization of available federal funding</w:t>
            </w:r>
          </w:p>
        </w:tc>
      </w:tr>
      <w:tr w:rsidR="003547D1" w14:paraId="13C907BB" w14:textId="77777777">
        <w:tc>
          <w:tcPr>
            <w:tcW w:w="6331" w:type="dxa"/>
          </w:tcPr>
          <w:p w14:paraId="789C7D79" w14:textId="77777777" w:rsidR="003547D1" w:rsidRDefault="00000000">
            <w:pPr>
              <w:pStyle w:val="Title"/>
              <w:keepLines/>
              <w:widowControl/>
              <w:spacing w:before="120"/>
              <w:ind w:left="0"/>
              <w:jc w:val="left"/>
              <w:rPr>
                <w:sz w:val="20"/>
                <w:szCs w:val="20"/>
              </w:rPr>
            </w:pPr>
            <w:r>
              <w:rPr>
                <w:sz w:val="20"/>
                <w:szCs w:val="20"/>
              </w:rPr>
              <w:t>Cyber and physical security of the grid</w:t>
            </w:r>
          </w:p>
        </w:tc>
        <w:tc>
          <w:tcPr>
            <w:tcW w:w="6629" w:type="dxa"/>
          </w:tcPr>
          <w:p w14:paraId="2686932E" w14:textId="77777777" w:rsidR="003547D1" w:rsidRDefault="00000000">
            <w:pPr>
              <w:pStyle w:val="Title"/>
              <w:keepLines/>
              <w:widowControl/>
              <w:spacing w:before="120"/>
              <w:ind w:left="0"/>
              <w:jc w:val="left"/>
              <w:rPr>
                <w:sz w:val="20"/>
                <w:szCs w:val="20"/>
              </w:rPr>
            </w:pPr>
            <w:r>
              <w:rPr>
                <w:sz w:val="20"/>
                <w:szCs w:val="20"/>
              </w:rPr>
              <w:t>Savings maximization from energy efficiency and exceedance of statutorily required savings levels</w:t>
            </w:r>
          </w:p>
        </w:tc>
      </w:tr>
      <w:tr w:rsidR="003547D1" w14:paraId="4D036EA7" w14:textId="77777777">
        <w:tc>
          <w:tcPr>
            <w:tcW w:w="6331" w:type="dxa"/>
          </w:tcPr>
          <w:p w14:paraId="223A575E" w14:textId="77777777" w:rsidR="003547D1" w:rsidRDefault="00000000">
            <w:pPr>
              <w:pStyle w:val="Title"/>
              <w:keepLines/>
              <w:widowControl/>
              <w:spacing w:before="120"/>
              <w:ind w:left="0"/>
              <w:jc w:val="left"/>
              <w:rPr>
                <w:sz w:val="20"/>
                <w:szCs w:val="20"/>
              </w:rPr>
            </w:pPr>
            <w:r>
              <w:rPr>
                <w:sz w:val="20"/>
                <w:szCs w:val="20"/>
              </w:rPr>
              <w:t>Annual and monthly generation and resource needs in addition to hourly generation and resource needs on the 10 hottest and coldest days of the year</w:t>
            </w:r>
          </w:p>
        </w:tc>
        <w:tc>
          <w:tcPr>
            <w:tcW w:w="6629" w:type="dxa"/>
          </w:tcPr>
          <w:p w14:paraId="33368119" w14:textId="77777777" w:rsidR="003547D1" w:rsidRDefault="00000000">
            <w:pPr>
              <w:pStyle w:val="Title"/>
              <w:keepLines/>
              <w:widowControl/>
              <w:spacing w:before="120"/>
              <w:ind w:left="0"/>
              <w:jc w:val="left"/>
              <w:rPr>
                <w:sz w:val="20"/>
                <w:szCs w:val="20"/>
              </w:rPr>
            </w:pPr>
            <w:r>
              <w:rPr>
                <w:sz w:val="20"/>
                <w:szCs w:val="20"/>
              </w:rPr>
              <w:t>DER integration and speed of interconnection</w:t>
            </w:r>
          </w:p>
        </w:tc>
      </w:tr>
      <w:tr w:rsidR="003547D1" w14:paraId="0CF8858B" w14:textId="77777777">
        <w:tc>
          <w:tcPr>
            <w:tcW w:w="6331" w:type="dxa"/>
          </w:tcPr>
          <w:p w14:paraId="17B8DCF4" w14:textId="77777777" w:rsidR="003547D1" w:rsidRDefault="00000000">
            <w:pPr>
              <w:pStyle w:val="Title"/>
              <w:keepLines/>
              <w:widowControl/>
              <w:spacing w:before="120"/>
              <w:ind w:left="0"/>
              <w:jc w:val="left"/>
              <w:rPr>
                <w:sz w:val="20"/>
                <w:szCs w:val="20"/>
              </w:rPr>
            </w:pPr>
            <w:r>
              <w:rPr>
                <w:sz w:val="20"/>
                <w:szCs w:val="20"/>
              </w:rPr>
              <w:t>Customer service</w:t>
            </w:r>
          </w:p>
        </w:tc>
        <w:tc>
          <w:tcPr>
            <w:tcW w:w="6629" w:type="dxa"/>
          </w:tcPr>
          <w:p w14:paraId="2A013FC7" w14:textId="77777777" w:rsidR="003547D1" w:rsidRDefault="00000000">
            <w:pPr>
              <w:pStyle w:val="Title"/>
              <w:keepLines/>
              <w:widowControl/>
              <w:spacing w:before="120"/>
              <w:ind w:left="0"/>
              <w:jc w:val="left"/>
              <w:rPr>
                <w:sz w:val="20"/>
                <w:szCs w:val="20"/>
              </w:rPr>
            </w:pPr>
            <w:r>
              <w:rPr>
                <w:sz w:val="20"/>
                <w:szCs w:val="20"/>
              </w:rPr>
              <w:t>Beneficial electrification</w:t>
            </w:r>
          </w:p>
        </w:tc>
      </w:tr>
      <w:tr w:rsidR="003547D1" w14:paraId="31B87D50" w14:textId="77777777">
        <w:tc>
          <w:tcPr>
            <w:tcW w:w="6331" w:type="dxa"/>
          </w:tcPr>
          <w:p w14:paraId="3527ED94" w14:textId="77777777" w:rsidR="003547D1" w:rsidRDefault="00000000">
            <w:pPr>
              <w:pStyle w:val="Title"/>
              <w:keepLines/>
              <w:widowControl/>
              <w:spacing w:before="120"/>
              <w:ind w:left="0"/>
              <w:jc w:val="left"/>
              <w:rPr>
                <w:sz w:val="20"/>
                <w:szCs w:val="20"/>
              </w:rPr>
            </w:pPr>
            <w:r>
              <w:rPr>
                <w:sz w:val="20"/>
                <w:szCs w:val="20"/>
              </w:rPr>
              <w:t>Environmental justice and equity</w:t>
            </w:r>
          </w:p>
        </w:tc>
        <w:tc>
          <w:tcPr>
            <w:tcW w:w="6629" w:type="dxa"/>
          </w:tcPr>
          <w:p w14:paraId="57D21690" w14:textId="77777777" w:rsidR="003547D1" w:rsidRDefault="00000000">
            <w:pPr>
              <w:pStyle w:val="Title"/>
              <w:keepLines/>
              <w:widowControl/>
              <w:spacing w:before="120"/>
              <w:ind w:left="0"/>
              <w:jc w:val="left"/>
              <w:rPr>
                <w:sz w:val="20"/>
                <w:szCs w:val="20"/>
              </w:rPr>
            </w:pPr>
            <w:r>
              <w:rPr>
                <w:sz w:val="20"/>
                <w:szCs w:val="20"/>
              </w:rPr>
              <w:t>Electricity decarbonization</w:t>
            </w:r>
          </w:p>
        </w:tc>
      </w:tr>
    </w:tbl>
    <w:p w14:paraId="0DAC283A" w14:textId="77777777" w:rsidR="003547D1" w:rsidRDefault="003547D1">
      <w:pPr>
        <w:pStyle w:val="Title"/>
        <w:keepLines/>
        <w:widowControl/>
        <w:spacing w:before="120"/>
        <w:ind w:left="720"/>
        <w:jc w:val="left"/>
        <w:rPr>
          <w:sz w:val="22"/>
          <w:szCs w:val="22"/>
        </w:rPr>
      </w:pPr>
    </w:p>
    <w:p w14:paraId="208FFB76" w14:textId="77777777" w:rsidR="003547D1" w:rsidRDefault="00000000">
      <w:pPr>
        <w:pStyle w:val="Title"/>
        <w:keepLines/>
        <w:spacing w:before="120"/>
        <w:ind w:left="180"/>
        <w:jc w:val="left"/>
        <w:rPr>
          <w:i/>
          <w:sz w:val="22"/>
          <w:szCs w:val="22"/>
        </w:rPr>
      </w:pPr>
      <w:r>
        <w:rPr>
          <w:b/>
          <w:sz w:val="22"/>
          <w:szCs w:val="22"/>
        </w:rPr>
        <w:t>Regulatory Assessment</w:t>
      </w:r>
    </w:p>
    <w:tbl>
      <w:tblPr>
        <w:tblStyle w:val="a3"/>
        <w:tblW w:w="13275"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0"/>
        <w:gridCol w:w="1695"/>
        <w:gridCol w:w="630"/>
        <w:gridCol w:w="450"/>
        <w:gridCol w:w="3840"/>
        <w:gridCol w:w="4710"/>
      </w:tblGrid>
      <w:tr w:rsidR="003547D1" w14:paraId="3C882B6D" w14:textId="77777777">
        <w:trPr>
          <w:trHeight w:val="563"/>
        </w:trPr>
        <w:tc>
          <w:tcPr>
            <w:tcW w:w="1950" w:type="dxa"/>
            <w:shd w:val="clear" w:color="auto" w:fill="3B7E32"/>
            <w:vAlign w:val="center"/>
          </w:tcPr>
          <w:p w14:paraId="4EAE8ECB" w14:textId="77777777" w:rsidR="003547D1" w:rsidRDefault="00000000">
            <w:pPr>
              <w:keepLines/>
              <w:widowControl/>
              <w:pBdr>
                <w:top w:val="nil"/>
                <w:left w:val="nil"/>
                <w:bottom w:val="nil"/>
                <w:right w:val="nil"/>
                <w:between w:val="nil"/>
              </w:pBdr>
              <w:spacing w:line="232" w:lineRule="auto"/>
              <w:ind w:left="110" w:right="203"/>
              <w:jc w:val="center"/>
              <w:rPr>
                <w:b/>
                <w:color w:val="000000"/>
                <w:sz w:val="24"/>
                <w:szCs w:val="24"/>
              </w:rPr>
            </w:pPr>
            <w:r>
              <w:rPr>
                <w:b/>
                <w:color w:val="FFFFFF"/>
                <w:sz w:val="24"/>
                <w:szCs w:val="24"/>
              </w:rPr>
              <w:t>Outcome</w:t>
            </w:r>
          </w:p>
        </w:tc>
        <w:tc>
          <w:tcPr>
            <w:tcW w:w="2325" w:type="dxa"/>
            <w:gridSpan w:val="2"/>
            <w:shd w:val="clear" w:color="auto" w:fill="auto"/>
          </w:tcPr>
          <w:p w14:paraId="19A8F30A" w14:textId="77777777" w:rsidR="003547D1" w:rsidRDefault="00000000">
            <w:pPr>
              <w:keepLines/>
              <w:widowControl/>
              <w:pBdr>
                <w:top w:val="nil"/>
                <w:left w:val="nil"/>
                <w:bottom w:val="nil"/>
                <w:right w:val="nil"/>
                <w:between w:val="nil"/>
              </w:pBdr>
              <w:spacing w:line="223" w:lineRule="auto"/>
              <w:ind w:left="110"/>
              <w:rPr>
                <w:i/>
                <w:color w:val="000000"/>
                <w:sz w:val="18"/>
                <w:szCs w:val="18"/>
              </w:rPr>
            </w:pPr>
            <w:r>
              <w:rPr>
                <w:color w:val="000000"/>
                <w:sz w:val="18"/>
                <w:szCs w:val="18"/>
              </w:rPr>
              <w:t xml:space="preserve">What regulatory </w:t>
            </w:r>
            <w:r>
              <w:rPr>
                <w:i/>
                <w:color w:val="000000"/>
                <w:sz w:val="18"/>
                <w:szCs w:val="18"/>
              </w:rPr>
              <w:t xml:space="preserve">outcome </w:t>
            </w:r>
            <w:r>
              <w:rPr>
                <w:color w:val="000000"/>
                <w:sz w:val="18"/>
                <w:szCs w:val="18"/>
              </w:rPr>
              <w:t xml:space="preserve">or </w:t>
            </w:r>
            <w:r>
              <w:rPr>
                <w:i/>
                <w:color w:val="000000"/>
                <w:sz w:val="18"/>
                <w:szCs w:val="18"/>
              </w:rPr>
              <w:t xml:space="preserve">performance area </w:t>
            </w:r>
            <w:r>
              <w:rPr>
                <w:color w:val="000000"/>
                <w:sz w:val="18"/>
                <w:szCs w:val="18"/>
              </w:rPr>
              <w:t>does this assessment consider?</w:t>
            </w:r>
          </w:p>
        </w:tc>
        <w:tc>
          <w:tcPr>
            <w:tcW w:w="9000" w:type="dxa"/>
            <w:gridSpan w:val="3"/>
            <w:shd w:val="clear" w:color="auto" w:fill="auto"/>
          </w:tcPr>
          <w:p w14:paraId="018092B0" w14:textId="77777777" w:rsidR="003547D1" w:rsidRDefault="00000000">
            <w:pPr>
              <w:pStyle w:val="Title"/>
              <w:keepLines/>
              <w:widowControl/>
              <w:spacing w:before="120"/>
              <w:ind w:left="0"/>
              <w:jc w:val="left"/>
              <w:rPr>
                <w:b/>
                <w:color w:val="000000"/>
                <w:sz w:val="18"/>
                <w:szCs w:val="18"/>
              </w:rPr>
            </w:pPr>
            <w:bookmarkStart w:id="1" w:name="_heading=h.cr8704zan01d" w:colFirst="0" w:colLast="0"/>
            <w:bookmarkEnd w:id="1"/>
            <w:r>
              <w:rPr>
                <w:b/>
                <w:sz w:val="20"/>
                <w:szCs w:val="20"/>
              </w:rPr>
              <w:t xml:space="preserve">Cost-efficient utility investments and operations and affordability </w:t>
            </w:r>
          </w:p>
        </w:tc>
      </w:tr>
      <w:tr w:rsidR="003547D1" w14:paraId="6BF04C1E" w14:textId="77777777">
        <w:tc>
          <w:tcPr>
            <w:tcW w:w="13275" w:type="dxa"/>
            <w:gridSpan w:val="6"/>
            <w:shd w:val="clear" w:color="auto" w:fill="3B7E32"/>
          </w:tcPr>
          <w:p w14:paraId="4EF6C4FF" w14:textId="77777777" w:rsidR="003547D1" w:rsidRDefault="00000000">
            <w:pPr>
              <w:keepLines/>
              <w:widowControl/>
              <w:pBdr>
                <w:top w:val="nil"/>
                <w:left w:val="nil"/>
                <w:bottom w:val="nil"/>
                <w:right w:val="nil"/>
                <w:between w:val="nil"/>
              </w:pBdr>
              <w:spacing w:line="223" w:lineRule="auto"/>
              <w:ind w:left="110"/>
              <w:rPr>
                <w:b/>
                <w:color w:val="000000"/>
                <w:sz w:val="18"/>
                <w:szCs w:val="18"/>
              </w:rPr>
            </w:pPr>
            <w:r>
              <w:rPr>
                <w:b/>
                <w:color w:val="FFFFFF"/>
                <w:sz w:val="18"/>
                <w:szCs w:val="18"/>
              </w:rPr>
              <w:t>Do the existing regulatory mechanisms and programs sufficiently support the outcome?</w:t>
            </w:r>
          </w:p>
        </w:tc>
      </w:tr>
      <w:tr w:rsidR="003547D1" w14:paraId="2053D6BE" w14:textId="77777777">
        <w:tc>
          <w:tcPr>
            <w:tcW w:w="1950" w:type="dxa"/>
          </w:tcPr>
          <w:p w14:paraId="7CA500CC" w14:textId="77777777" w:rsidR="003547D1" w:rsidRDefault="00000000">
            <w:pPr>
              <w:keepLines/>
              <w:widowControl/>
              <w:pBdr>
                <w:top w:val="nil"/>
                <w:left w:val="nil"/>
                <w:bottom w:val="nil"/>
                <w:right w:val="nil"/>
                <w:between w:val="nil"/>
              </w:pBdr>
              <w:spacing w:line="222" w:lineRule="auto"/>
              <w:ind w:left="16" w:right="2"/>
              <w:jc w:val="center"/>
              <w:rPr>
                <w:b/>
                <w:color w:val="000000"/>
                <w:sz w:val="18"/>
                <w:szCs w:val="18"/>
              </w:rPr>
            </w:pPr>
            <w:r>
              <w:rPr>
                <w:b/>
                <w:color w:val="000000"/>
                <w:sz w:val="18"/>
                <w:szCs w:val="18"/>
              </w:rPr>
              <w:t>Key</w:t>
            </w:r>
          </w:p>
        </w:tc>
        <w:tc>
          <w:tcPr>
            <w:tcW w:w="11325" w:type="dxa"/>
            <w:gridSpan w:val="5"/>
          </w:tcPr>
          <w:p w14:paraId="611C9382" w14:textId="77777777" w:rsidR="003547D1" w:rsidRDefault="003547D1">
            <w:pPr>
              <w:keepLines/>
              <w:widowControl/>
              <w:pBdr>
                <w:top w:val="nil"/>
                <w:left w:val="nil"/>
                <w:bottom w:val="nil"/>
                <w:right w:val="nil"/>
                <w:between w:val="nil"/>
              </w:pBdr>
              <w:rPr>
                <w:rFonts w:ascii="Times New Roman" w:eastAsia="Times New Roman" w:hAnsi="Times New Roman" w:cs="Times New Roman"/>
                <w:color w:val="000000"/>
                <w:sz w:val="18"/>
                <w:szCs w:val="18"/>
              </w:rPr>
            </w:pPr>
          </w:p>
        </w:tc>
      </w:tr>
      <w:tr w:rsidR="003547D1" w14:paraId="0FA72EF1" w14:textId="77777777">
        <w:tc>
          <w:tcPr>
            <w:tcW w:w="1950" w:type="dxa"/>
          </w:tcPr>
          <w:p w14:paraId="4B61FBCF" w14:textId="77777777" w:rsidR="003547D1" w:rsidRDefault="00000000">
            <w:pPr>
              <w:keepLines/>
              <w:widowControl/>
              <w:pBdr>
                <w:top w:val="nil"/>
                <w:left w:val="nil"/>
                <w:bottom w:val="nil"/>
                <w:right w:val="nil"/>
                <w:between w:val="nil"/>
              </w:pBdr>
              <w:spacing w:line="222" w:lineRule="auto"/>
              <w:ind w:left="16"/>
              <w:jc w:val="center"/>
              <w:rPr>
                <w:b/>
                <w:color w:val="000000"/>
                <w:sz w:val="18"/>
                <w:szCs w:val="18"/>
              </w:rPr>
            </w:pPr>
            <w:r>
              <w:rPr>
                <w:b/>
                <w:color w:val="000000"/>
                <w:sz w:val="18"/>
                <w:szCs w:val="18"/>
              </w:rPr>
              <w:t>+</w:t>
            </w:r>
          </w:p>
        </w:tc>
        <w:tc>
          <w:tcPr>
            <w:tcW w:w="1695" w:type="dxa"/>
          </w:tcPr>
          <w:p w14:paraId="0906044D" w14:textId="77777777" w:rsidR="003547D1" w:rsidRDefault="00000000">
            <w:pPr>
              <w:keepLines/>
              <w:widowControl/>
              <w:pBdr>
                <w:top w:val="nil"/>
                <w:left w:val="nil"/>
                <w:bottom w:val="nil"/>
                <w:right w:val="nil"/>
                <w:between w:val="nil"/>
              </w:pBdr>
              <w:spacing w:line="222" w:lineRule="auto"/>
              <w:ind w:left="3" w:right="3"/>
              <w:jc w:val="center"/>
              <w:rPr>
                <w:b/>
                <w:color w:val="000000"/>
                <w:sz w:val="18"/>
                <w:szCs w:val="18"/>
              </w:rPr>
            </w:pPr>
            <w:r>
              <w:rPr>
                <w:b/>
                <w:color w:val="000000"/>
                <w:sz w:val="18"/>
                <w:szCs w:val="18"/>
              </w:rPr>
              <w:t>Yes</w:t>
            </w:r>
          </w:p>
        </w:tc>
        <w:tc>
          <w:tcPr>
            <w:tcW w:w="9630" w:type="dxa"/>
            <w:gridSpan w:val="4"/>
          </w:tcPr>
          <w:p w14:paraId="46DFB81E" w14:textId="77777777" w:rsidR="003547D1" w:rsidRDefault="00000000">
            <w:pPr>
              <w:keepLines/>
              <w:widowControl/>
              <w:pBdr>
                <w:top w:val="nil"/>
                <w:left w:val="nil"/>
                <w:bottom w:val="nil"/>
                <w:right w:val="nil"/>
                <w:between w:val="nil"/>
              </w:pBdr>
              <w:spacing w:line="222" w:lineRule="auto"/>
              <w:ind w:left="103"/>
              <w:rPr>
                <w:color w:val="000000"/>
                <w:sz w:val="18"/>
                <w:szCs w:val="18"/>
              </w:rPr>
            </w:pPr>
            <w:r>
              <w:rPr>
                <w:color w:val="000000"/>
                <w:sz w:val="18"/>
                <w:szCs w:val="18"/>
              </w:rPr>
              <w:t xml:space="preserve">The mechanism or program </w:t>
            </w:r>
            <w:r>
              <w:rPr>
                <w:b/>
                <w:color w:val="000000"/>
                <w:sz w:val="18"/>
                <w:szCs w:val="18"/>
              </w:rPr>
              <w:t xml:space="preserve">incents achievement </w:t>
            </w:r>
            <w:r>
              <w:rPr>
                <w:color w:val="000000"/>
                <w:sz w:val="18"/>
                <w:szCs w:val="18"/>
              </w:rPr>
              <w:t>of this outcome.</w:t>
            </w:r>
          </w:p>
        </w:tc>
      </w:tr>
      <w:tr w:rsidR="003547D1" w14:paraId="3B7AF325" w14:textId="77777777">
        <w:tc>
          <w:tcPr>
            <w:tcW w:w="1950" w:type="dxa"/>
          </w:tcPr>
          <w:p w14:paraId="1BC09770" w14:textId="77777777" w:rsidR="003547D1" w:rsidRDefault="00000000">
            <w:pPr>
              <w:keepLines/>
              <w:widowControl/>
              <w:pBdr>
                <w:top w:val="nil"/>
                <w:left w:val="nil"/>
                <w:bottom w:val="nil"/>
                <w:right w:val="nil"/>
                <w:between w:val="nil"/>
              </w:pBdr>
              <w:spacing w:line="222" w:lineRule="auto"/>
              <w:ind w:left="16" w:right="5"/>
              <w:jc w:val="center"/>
              <w:rPr>
                <w:b/>
                <w:color w:val="000000"/>
                <w:sz w:val="18"/>
                <w:szCs w:val="18"/>
              </w:rPr>
            </w:pPr>
            <w:r>
              <w:rPr>
                <w:b/>
                <w:color w:val="000000"/>
                <w:sz w:val="18"/>
                <w:szCs w:val="18"/>
              </w:rPr>
              <w:t>0</w:t>
            </w:r>
          </w:p>
        </w:tc>
        <w:tc>
          <w:tcPr>
            <w:tcW w:w="1695" w:type="dxa"/>
          </w:tcPr>
          <w:p w14:paraId="467E6CE4" w14:textId="77777777" w:rsidR="003547D1" w:rsidRDefault="00000000">
            <w:pPr>
              <w:keepLines/>
              <w:widowControl/>
              <w:pBdr>
                <w:top w:val="nil"/>
                <w:left w:val="nil"/>
                <w:bottom w:val="nil"/>
                <w:right w:val="nil"/>
                <w:between w:val="nil"/>
              </w:pBdr>
              <w:spacing w:line="222" w:lineRule="auto"/>
              <w:ind w:left="1" w:right="4"/>
              <w:jc w:val="center"/>
              <w:rPr>
                <w:b/>
                <w:color w:val="000000"/>
                <w:sz w:val="18"/>
                <w:szCs w:val="18"/>
              </w:rPr>
            </w:pPr>
            <w:r>
              <w:rPr>
                <w:b/>
                <w:color w:val="000000"/>
                <w:sz w:val="18"/>
                <w:szCs w:val="18"/>
              </w:rPr>
              <w:t>No Impact</w:t>
            </w:r>
          </w:p>
        </w:tc>
        <w:tc>
          <w:tcPr>
            <w:tcW w:w="9630" w:type="dxa"/>
            <w:gridSpan w:val="4"/>
          </w:tcPr>
          <w:p w14:paraId="7B24526C" w14:textId="77777777" w:rsidR="003547D1" w:rsidRDefault="00000000">
            <w:pPr>
              <w:keepLines/>
              <w:widowControl/>
              <w:pBdr>
                <w:top w:val="nil"/>
                <w:left w:val="nil"/>
                <w:bottom w:val="nil"/>
                <w:right w:val="nil"/>
                <w:between w:val="nil"/>
              </w:pBdr>
              <w:spacing w:line="222" w:lineRule="auto"/>
              <w:ind w:left="103"/>
              <w:rPr>
                <w:color w:val="000000"/>
                <w:sz w:val="18"/>
                <w:szCs w:val="18"/>
              </w:rPr>
            </w:pPr>
            <w:r>
              <w:rPr>
                <w:color w:val="000000"/>
                <w:sz w:val="18"/>
                <w:szCs w:val="18"/>
              </w:rPr>
              <w:t xml:space="preserve">The mechanism or program </w:t>
            </w:r>
            <w:r>
              <w:rPr>
                <w:b/>
                <w:color w:val="000000"/>
                <w:sz w:val="18"/>
                <w:szCs w:val="18"/>
              </w:rPr>
              <w:t xml:space="preserve">does not seem to impact the achievement </w:t>
            </w:r>
            <w:r>
              <w:rPr>
                <w:color w:val="000000"/>
                <w:sz w:val="18"/>
                <w:szCs w:val="18"/>
              </w:rPr>
              <w:t>of this outcome.</w:t>
            </w:r>
          </w:p>
        </w:tc>
      </w:tr>
      <w:tr w:rsidR="003547D1" w14:paraId="669BA86A" w14:textId="77777777">
        <w:tc>
          <w:tcPr>
            <w:tcW w:w="1950" w:type="dxa"/>
          </w:tcPr>
          <w:p w14:paraId="76CE9A4B" w14:textId="77777777" w:rsidR="003547D1" w:rsidRDefault="00000000">
            <w:pPr>
              <w:keepLines/>
              <w:widowControl/>
              <w:pBdr>
                <w:top w:val="nil"/>
                <w:left w:val="nil"/>
                <w:bottom w:val="nil"/>
                <w:right w:val="nil"/>
                <w:between w:val="nil"/>
              </w:pBdr>
              <w:spacing w:line="223" w:lineRule="auto"/>
              <w:ind w:left="16"/>
              <w:jc w:val="center"/>
              <w:rPr>
                <w:b/>
                <w:color w:val="000000"/>
                <w:sz w:val="18"/>
                <w:szCs w:val="18"/>
              </w:rPr>
            </w:pPr>
            <w:r>
              <w:rPr>
                <w:b/>
                <w:color w:val="000000"/>
                <w:sz w:val="18"/>
                <w:szCs w:val="18"/>
              </w:rPr>
              <w:t>-</w:t>
            </w:r>
          </w:p>
        </w:tc>
        <w:tc>
          <w:tcPr>
            <w:tcW w:w="1695" w:type="dxa"/>
          </w:tcPr>
          <w:p w14:paraId="6F0236DD" w14:textId="77777777" w:rsidR="003547D1" w:rsidRDefault="00000000">
            <w:pPr>
              <w:keepLines/>
              <w:widowControl/>
              <w:pBdr>
                <w:top w:val="nil"/>
                <w:left w:val="nil"/>
                <w:bottom w:val="nil"/>
                <w:right w:val="nil"/>
                <w:between w:val="nil"/>
              </w:pBdr>
              <w:spacing w:line="223" w:lineRule="auto"/>
              <w:ind w:left="4" w:right="3"/>
              <w:jc w:val="center"/>
              <w:rPr>
                <w:b/>
                <w:color w:val="000000"/>
                <w:sz w:val="18"/>
                <w:szCs w:val="18"/>
              </w:rPr>
            </w:pPr>
            <w:r>
              <w:rPr>
                <w:b/>
                <w:color w:val="000000"/>
                <w:sz w:val="18"/>
                <w:szCs w:val="18"/>
              </w:rPr>
              <w:t>No</w:t>
            </w:r>
          </w:p>
        </w:tc>
        <w:tc>
          <w:tcPr>
            <w:tcW w:w="9630" w:type="dxa"/>
            <w:gridSpan w:val="4"/>
          </w:tcPr>
          <w:p w14:paraId="42FFB3A5" w14:textId="77777777" w:rsidR="003547D1" w:rsidRDefault="00000000">
            <w:pPr>
              <w:keepLines/>
              <w:widowControl/>
              <w:pBdr>
                <w:top w:val="nil"/>
                <w:left w:val="nil"/>
                <w:bottom w:val="nil"/>
                <w:right w:val="nil"/>
                <w:between w:val="nil"/>
              </w:pBdr>
              <w:spacing w:line="223" w:lineRule="auto"/>
              <w:ind w:left="103"/>
              <w:rPr>
                <w:color w:val="000000"/>
                <w:sz w:val="18"/>
                <w:szCs w:val="18"/>
              </w:rPr>
            </w:pPr>
            <w:r>
              <w:rPr>
                <w:color w:val="000000"/>
                <w:sz w:val="18"/>
                <w:szCs w:val="18"/>
              </w:rPr>
              <w:t xml:space="preserve">The mechanism or program </w:t>
            </w:r>
            <w:r>
              <w:rPr>
                <w:b/>
                <w:color w:val="000000"/>
                <w:sz w:val="18"/>
                <w:szCs w:val="18"/>
              </w:rPr>
              <w:t xml:space="preserve">disincentivizes the achievement </w:t>
            </w:r>
            <w:r>
              <w:rPr>
                <w:color w:val="000000"/>
                <w:sz w:val="18"/>
                <w:szCs w:val="18"/>
              </w:rPr>
              <w:t>of this outcome.</w:t>
            </w:r>
          </w:p>
        </w:tc>
      </w:tr>
      <w:tr w:rsidR="003547D1" w14:paraId="03FF1B07" w14:textId="77777777">
        <w:tc>
          <w:tcPr>
            <w:tcW w:w="1950" w:type="dxa"/>
            <w:vMerge w:val="restart"/>
            <w:shd w:val="clear" w:color="auto" w:fill="3B7E32"/>
            <w:vAlign w:val="center"/>
          </w:tcPr>
          <w:p w14:paraId="7C98E4CA" w14:textId="77777777" w:rsidR="003547D1" w:rsidRDefault="00000000">
            <w:pPr>
              <w:keepLines/>
              <w:widowControl/>
              <w:pBdr>
                <w:top w:val="nil"/>
                <w:left w:val="nil"/>
                <w:bottom w:val="nil"/>
                <w:right w:val="nil"/>
                <w:between w:val="nil"/>
              </w:pBdr>
              <w:spacing w:line="232" w:lineRule="auto"/>
              <w:ind w:left="110" w:right="203"/>
              <w:rPr>
                <w:b/>
                <w:color w:val="000000"/>
                <w:sz w:val="18"/>
                <w:szCs w:val="18"/>
              </w:rPr>
            </w:pPr>
            <w:r>
              <w:rPr>
                <w:b/>
                <w:color w:val="FFFFFF"/>
                <w:sz w:val="18"/>
                <w:szCs w:val="18"/>
              </w:rPr>
              <w:t>Existing Regulatory Mechanisms and Programs</w:t>
            </w:r>
          </w:p>
        </w:tc>
        <w:tc>
          <w:tcPr>
            <w:tcW w:w="1695" w:type="dxa"/>
            <w:vMerge w:val="restart"/>
            <w:shd w:val="clear" w:color="auto" w:fill="3B7E32"/>
            <w:vAlign w:val="center"/>
          </w:tcPr>
          <w:p w14:paraId="108E0402" w14:textId="77777777" w:rsidR="003547D1" w:rsidRDefault="00000000">
            <w:pPr>
              <w:keepLines/>
              <w:widowControl/>
              <w:pBdr>
                <w:top w:val="nil"/>
                <w:left w:val="nil"/>
                <w:bottom w:val="nil"/>
                <w:right w:val="nil"/>
                <w:between w:val="nil"/>
              </w:pBdr>
              <w:ind w:left="555"/>
              <w:rPr>
                <w:b/>
                <w:color w:val="000000"/>
                <w:sz w:val="18"/>
                <w:szCs w:val="18"/>
              </w:rPr>
            </w:pPr>
            <w:r>
              <w:rPr>
                <w:b/>
                <w:color w:val="FFFFFF"/>
                <w:sz w:val="18"/>
                <w:szCs w:val="18"/>
              </w:rPr>
              <w:t>Description</w:t>
            </w:r>
          </w:p>
        </w:tc>
        <w:tc>
          <w:tcPr>
            <w:tcW w:w="4920" w:type="dxa"/>
            <w:gridSpan w:val="3"/>
            <w:shd w:val="clear" w:color="auto" w:fill="3B7E32"/>
          </w:tcPr>
          <w:p w14:paraId="333C867C" w14:textId="77777777" w:rsidR="003547D1" w:rsidRDefault="00000000">
            <w:pPr>
              <w:keepLines/>
              <w:widowControl/>
              <w:pBdr>
                <w:top w:val="nil"/>
                <w:left w:val="nil"/>
                <w:bottom w:val="nil"/>
                <w:right w:val="nil"/>
                <w:between w:val="nil"/>
              </w:pBdr>
              <w:spacing w:before="131" w:line="235" w:lineRule="auto"/>
              <w:ind w:right="527"/>
              <w:jc w:val="center"/>
              <w:rPr>
                <w:b/>
                <w:color w:val="000000"/>
                <w:sz w:val="18"/>
                <w:szCs w:val="18"/>
              </w:rPr>
            </w:pPr>
            <w:r>
              <w:rPr>
                <w:b/>
                <w:color w:val="FFFFFF"/>
                <w:sz w:val="18"/>
                <w:szCs w:val="18"/>
              </w:rPr>
              <w:t>Mechanism or Program’s Effect on Outcome</w:t>
            </w:r>
          </w:p>
        </w:tc>
        <w:tc>
          <w:tcPr>
            <w:tcW w:w="4710" w:type="dxa"/>
            <w:vMerge w:val="restart"/>
            <w:shd w:val="clear" w:color="auto" w:fill="3B7E32"/>
            <w:vAlign w:val="center"/>
          </w:tcPr>
          <w:p w14:paraId="34002102" w14:textId="77777777" w:rsidR="003547D1" w:rsidRDefault="00000000">
            <w:pPr>
              <w:keepLines/>
              <w:widowControl/>
              <w:pBdr>
                <w:top w:val="nil"/>
                <w:left w:val="nil"/>
                <w:bottom w:val="nil"/>
                <w:right w:val="nil"/>
                <w:between w:val="nil"/>
              </w:pBdr>
              <w:ind w:left="1271"/>
              <w:rPr>
                <w:b/>
                <w:color w:val="000000"/>
                <w:sz w:val="18"/>
                <w:szCs w:val="18"/>
              </w:rPr>
            </w:pPr>
            <w:r>
              <w:rPr>
                <w:b/>
                <w:color w:val="FFFFFF"/>
                <w:sz w:val="18"/>
                <w:szCs w:val="18"/>
              </w:rPr>
              <w:t>Issues for Attention</w:t>
            </w:r>
          </w:p>
        </w:tc>
      </w:tr>
      <w:tr w:rsidR="003547D1" w14:paraId="17071001" w14:textId="77777777">
        <w:tc>
          <w:tcPr>
            <w:tcW w:w="1950" w:type="dxa"/>
            <w:vMerge/>
            <w:shd w:val="clear" w:color="auto" w:fill="3B7E32"/>
            <w:vAlign w:val="center"/>
          </w:tcPr>
          <w:p w14:paraId="6CBC9217" w14:textId="77777777" w:rsidR="003547D1" w:rsidRDefault="003547D1">
            <w:pPr>
              <w:pBdr>
                <w:top w:val="nil"/>
                <w:left w:val="nil"/>
                <w:bottom w:val="nil"/>
                <w:right w:val="nil"/>
                <w:between w:val="nil"/>
              </w:pBdr>
              <w:spacing w:line="276" w:lineRule="auto"/>
              <w:rPr>
                <w:b/>
                <w:color w:val="000000"/>
                <w:sz w:val="18"/>
                <w:szCs w:val="18"/>
              </w:rPr>
            </w:pPr>
          </w:p>
        </w:tc>
        <w:tc>
          <w:tcPr>
            <w:tcW w:w="1695" w:type="dxa"/>
            <w:vMerge/>
            <w:shd w:val="clear" w:color="auto" w:fill="3B7E32"/>
            <w:vAlign w:val="center"/>
          </w:tcPr>
          <w:p w14:paraId="193D5F30" w14:textId="77777777" w:rsidR="003547D1" w:rsidRDefault="003547D1">
            <w:pPr>
              <w:pBdr>
                <w:top w:val="nil"/>
                <w:left w:val="nil"/>
                <w:bottom w:val="nil"/>
                <w:right w:val="nil"/>
                <w:between w:val="nil"/>
              </w:pBdr>
              <w:spacing w:line="276" w:lineRule="auto"/>
              <w:rPr>
                <w:b/>
                <w:color w:val="000000"/>
                <w:sz w:val="18"/>
                <w:szCs w:val="18"/>
              </w:rPr>
            </w:pPr>
          </w:p>
        </w:tc>
        <w:tc>
          <w:tcPr>
            <w:tcW w:w="1080" w:type="dxa"/>
            <w:gridSpan w:val="2"/>
            <w:shd w:val="clear" w:color="auto" w:fill="3B7E32"/>
          </w:tcPr>
          <w:p w14:paraId="62797E64" w14:textId="77777777" w:rsidR="003547D1" w:rsidRDefault="00000000">
            <w:pPr>
              <w:keepLines/>
              <w:widowControl/>
              <w:pBdr>
                <w:top w:val="nil"/>
                <w:left w:val="nil"/>
                <w:bottom w:val="nil"/>
                <w:right w:val="nil"/>
                <w:between w:val="nil"/>
              </w:pBdr>
              <w:spacing w:line="266" w:lineRule="auto"/>
              <w:ind w:left="208" w:right="199" w:hanging="5"/>
              <w:rPr>
                <w:b/>
                <w:color w:val="000000"/>
                <w:sz w:val="18"/>
                <w:szCs w:val="18"/>
              </w:rPr>
            </w:pPr>
            <w:r>
              <w:rPr>
                <w:b/>
                <w:color w:val="FFFFFF"/>
                <w:sz w:val="18"/>
                <w:szCs w:val="18"/>
              </w:rPr>
              <w:t>Score (+/0/-)</w:t>
            </w:r>
          </w:p>
        </w:tc>
        <w:tc>
          <w:tcPr>
            <w:tcW w:w="3840" w:type="dxa"/>
            <w:shd w:val="clear" w:color="auto" w:fill="3B7E32"/>
          </w:tcPr>
          <w:p w14:paraId="69F2A6E1" w14:textId="77777777" w:rsidR="003547D1" w:rsidRDefault="00000000">
            <w:pPr>
              <w:keepLines/>
              <w:widowControl/>
              <w:pBdr>
                <w:top w:val="nil"/>
                <w:left w:val="nil"/>
                <w:bottom w:val="nil"/>
                <w:right w:val="nil"/>
                <w:between w:val="nil"/>
              </w:pBdr>
              <w:spacing w:line="222" w:lineRule="auto"/>
              <w:ind w:right="2"/>
              <w:jc w:val="center"/>
              <w:rPr>
                <w:b/>
                <w:color w:val="000000"/>
                <w:sz w:val="18"/>
                <w:szCs w:val="18"/>
              </w:rPr>
            </w:pPr>
            <w:r>
              <w:rPr>
                <w:b/>
                <w:color w:val="FFFFFF"/>
                <w:sz w:val="18"/>
                <w:szCs w:val="18"/>
              </w:rPr>
              <w:t>Discussion</w:t>
            </w:r>
          </w:p>
        </w:tc>
        <w:tc>
          <w:tcPr>
            <w:tcW w:w="4710" w:type="dxa"/>
            <w:vMerge/>
            <w:shd w:val="clear" w:color="auto" w:fill="3B7E32"/>
            <w:vAlign w:val="center"/>
          </w:tcPr>
          <w:p w14:paraId="1CF8FCCD" w14:textId="77777777" w:rsidR="003547D1" w:rsidRDefault="003547D1">
            <w:pPr>
              <w:pBdr>
                <w:top w:val="nil"/>
                <w:left w:val="nil"/>
                <w:bottom w:val="nil"/>
                <w:right w:val="nil"/>
                <w:between w:val="nil"/>
              </w:pBdr>
              <w:spacing w:line="276" w:lineRule="auto"/>
              <w:rPr>
                <w:b/>
                <w:color w:val="000000"/>
                <w:sz w:val="18"/>
                <w:szCs w:val="18"/>
              </w:rPr>
            </w:pPr>
          </w:p>
        </w:tc>
      </w:tr>
      <w:tr w:rsidR="003547D1" w:rsidRPr="007F1D22" w14:paraId="702AF082" w14:textId="77777777">
        <w:trPr>
          <w:trHeight w:val="4577"/>
        </w:trPr>
        <w:tc>
          <w:tcPr>
            <w:tcW w:w="1950" w:type="dxa"/>
            <w:vMerge w:val="restart"/>
            <w:vAlign w:val="center"/>
          </w:tcPr>
          <w:p w14:paraId="04FDAD71" w14:textId="77777777" w:rsidR="003547D1" w:rsidRPr="007F1D22" w:rsidRDefault="00000000">
            <w:pPr>
              <w:keepLines/>
              <w:widowControl/>
              <w:pBdr>
                <w:top w:val="nil"/>
                <w:left w:val="nil"/>
                <w:bottom w:val="nil"/>
                <w:right w:val="nil"/>
                <w:between w:val="nil"/>
              </w:pBdr>
              <w:spacing w:line="266" w:lineRule="auto"/>
              <w:ind w:left="60"/>
              <w:rPr>
                <w:b/>
                <w:color w:val="000000"/>
                <w:sz w:val="18"/>
                <w:szCs w:val="18"/>
              </w:rPr>
            </w:pPr>
            <w:r w:rsidRPr="007F1D22">
              <w:rPr>
                <w:b/>
                <w:color w:val="000000"/>
                <w:sz w:val="18"/>
                <w:szCs w:val="18"/>
              </w:rPr>
              <w:lastRenderedPageBreak/>
              <w:t>Rate Reviews (typically biennial)</w:t>
            </w:r>
          </w:p>
        </w:tc>
        <w:tc>
          <w:tcPr>
            <w:tcW w:w="1695" w:type="dxa"/>
          </w:tcPr>
          <w:p w14:paraId="12F36893" w14:textId="77777777" w:rsidR="003547D1" w:rsidRPr="007F1D22" w:rsidRDefault="00000000">
            <w:pPr>
              <w:keepLines/>
              <w:widowControl/>
              <w:pBdr>
                <w:top w:val="nil"/>
                <w:left w:val="nil"/>
                <w:bottom w:val="nil"/>
                <w:right w:val="nil"/>
                <w:between w:val="nil"/>
              </w:pBdr>
              <w:spacing w:before="98" w:line="232" w:lineRule="auto"/>
              <w:ind w:left="104" w:right="149"/>
              <w:rPr>
                <w:color w:val="000000"/>
                <w:sz w:val="18"/>
                <w:szCs w:val="18"/>
              </w:rPr>
            </w:pPr>
            <w:r w:rsidRPr="007F1D22">
              <w:rPr>
                <w:color w:val="000000"/>
                <w:sz w:val="18"/>
                <w:szCs w:val="18"/>
              </w:rPr>
              <w:t xml:space="preserve">Rates are reset every two years. </w:t>
            </w:r>
          </w:p>
        </w:tc>
        <w:tc>
          <w:tcPr>
            <w:tcW w:w="1080" w:type="dxa"/>
            <w:gridSpan w:val="2"/>
          </w:tcPr>
          <w:p w14:paraId="1EFF7C70" w14:textId="77777777" w:rsidR="003547D1" w:rsidRPr="007F1D22" w:rsidRDefault="003547D1">
            <w:pPr>
              <w:keepLines/>
              <w:widowControl/>
              <w:numPr>
                <w:ilvl w:val="0"/>
                <w:numId w:val="2"/>
              </w:numPr>
              <w:pBdr>
                <w:top w:val="nil"/>
                <w:left w:val="nil"/>
                <w:bottom w:val="nil"/>
                <w:right w:val="nil"/>
                <w:between w:val="nil"/>
              </w:pBdr>
              <w:rPr>
                <w:rFonts w:ascii="Times New Roman" w:eastAsia="Times New Roman" w:hAnsi="Times New Roman" w:cs="Times New Roman"/>
                <w:color w:val="000000"/>
                <w:sz w:val="18"/>
                <w:szCs w:val="18"/>
              </w:rPr>
            </w:pPr>
          </w:p>
        </w:tc>
        <w:tc>
          <w:tcPr>
            <w:tcW w:w="3840" w:type="dxa"/>
          </w:tcPr>
          <w:p w14:paraId="6B8C61D8" w14:textId="4A9199B7" w:rsidR="002F73E5" w:rsidRDefault="002F73E5">
            <w:pPr>
              <w:keepLines/>
              <w:widowControl/>
              <w:pBdr>
                <w:top w:val="nil"/>
                <w:left w:val="nil"/>
                <w:bottom w:val="nil"/>
                <w:right w:val="nil"/>
                <w:between w:val="nil"/>
              </w:pBdr>
              <w:spacing w:line="276" w:lineRule="auto"/>
              <w:rPr>
                <w:sz w:val="18"/>
                <w:szCs w:val="18"/>
              </w:rPr>
            </w:pPr>
            <w:r w:rsidRPr="007F1D22">
              <w:rPr>
                <w:sz w:val="18"/>
                <w:szCs w:val="18"/>
              </w:rPr>
              <w:t>Frequent rate cases erode cost-containment incentives for the utility and increase regulatory burden.</w:t>
            </w:r>
            <w:r w:rsidR="009002A5">
              <w:rPr>
                <w:sz w:val="18"/>
                <w:szCs w:val="18"/>
              </w:rPr>
              <w:t xml:space="preserve"> Thus, it does not favor the outcomes under evaluation. </w:t>
            </w:r>
            <w:r w:rsidR="009002A5">
              <w:rPr>
                <w:sz w:val="18"/>
                <w:szCs w:val="18"/>
              </w:rPr>
              <w:br/>
            </w:r>
          </w:p>
          <w:p w14:paraId="4A558E88" w14:textId="6E6D20B3" w:rsidR="003547D1" w:rsidRPr="007F1D22" w:rsidRDefault="00000000">
            <w:pPr>
              <w:keepLines/>
              <w:widowControl/>
              <w:pBdr>
                <w:top w:val="nil"/>
                <w:left w:val="nil"/>
                <w:bottom w:val="nil"/>
                <w:right w:val="nil"/>
                <w:between w:val="nil"/>
              </w:pBdr>
              <w:spacing w:line="276" w:lineRule="auto"/>
              <w:rPr>
                <w:sz w:val="18"/>
                <w:szCs w:val="18"/>
              </w:rPr>
            </w:pPr>
            <w:r w:rsidRPr="007F1D22">
              <w:rPr>
                <w:sz w:val="18"/>
                <w:szCs w:val="18"/>
              </w:rPr>
              <w:t xml:space="preserve">Virginia regulated utilities have experienced different stay-out periods (time between rate cases). From the passage of the Re-regulation Act in 2007 through 2015, utilities were subject to biennial reviews, until SB1349, enacted in 2015, imposed a seven-year rate freeze that lasted through 2021. The 2018 Grid Modernization Act re-established triennial reviews that only applied for APCo during its 2023 rate case. Subsequent legislation in 2023 reinstated biennial reviews. APCo had its first biennial review in </w:t>
            </w:r>
            <w:proofErr w:type="gramStart"/>
            <w:r w:rsidRPr="007F1D22">
              <w:rPr>
                <w:sz w:val="18"/>
                <w:szCs w:val="18"/>
              </w:rPr>
              <w:t>2024</w:t>
            </w:r>
            <w:proofErr w:type="gramEnd"/>
            <w:r w:rsidRPr="007F1D22">
              <w:rPr>
                <w:sz w:val="18"/>
                <w:szCs w:val="18"/>
              </w:rPr>
              <w:t xml:space="preserve"> and Dominion had its first biennial review in 2023. From 2023 on, each utility will have a major rate case every other year. These regulations do not apply for Kentucky Utilities, the third Virginia investor-owned utility that is subject to traditional Chapter 10 regulations. </w:t>
            </w:r>
          </w:p>
          <w:p w14:paraId="4F49D9F0" w14:textId="77777777" w:rsidR="003547D1" w:rsidRPr="007F1D22" w:rsidRDefault="003547D1">
            <w:pPr>
              <w:keepLines/>
              <w:widowControl/>
              <w:pBdr>
                <w:top w:val="nil"/>
                <w:left w:val="nil"/>
                <w:bottom w:val="nil"/>
                <w:right w:val="nil"/>
                <w:between w:val="nil"/>
              </w:pBdr>
              <w:spacing w:line="276" w:lineRule="auto"/>
              <w:rPr>
                <w:sz w:val="18"/>
                <w:szCs w:val="18"/>
              </w:rPr>
            </w:pPr>
          </w:p>
          <w:p w14:paraId="5F3AA08E" w14:textId="77777777" w:rsidR="003547D1" w:rsidRPr="007F1D22" w:rsidRDefault="00000000">
            <w:pPr>
              <w:keepLines/>
              <w:widowControl/>
              <w:spacing w:line="276" w:lineRule="auto"/>
              <w:rPr>
                <w:sz w:val="18"/>
                <w:szCs w:val="18"/>
              </w:rPr>
            </w:pPr>
            <w:r w:rsidRPr="007F1D22">
              <w:rPr>
                <w:sz w:val="18"/>
                <w:szCs w:val="18"/>
              </w:rPr>
              <w:lastRenderedPageBreak/>
              <w:t xml:space="preserve">The longer stay-out period between 2015 and 2021 generated large overearnings for utilities that mostly did not come from efficiency gains. This occurred for multiple reasons: 1) During the 2015 rate case, the Commission was not allowed to update rates to reflect reduced cost of service; 2) during this rate freeze period, the reduction in the depreciation expense accumulated, generating overearnings for the utilities that were not used up by new costs. Instead, new costs were added on top of the base rate through rate adjustment clauses. However, under a system where most utility costs are recovered through base rates, the reduction in the depreciation expense would have been netted out with the new costs. </w:t>
            </w:r>
          </w:p>
          <w:p w14:paraId="672E55A7" w14:textId="77777777" w:rsidR="003547D1" w:rsidRPr="007F1D22" w:rsidRDefault="003547D1">
            <w:pPr>
              <w:keepLines/>
              <w:widowControl/>
              <w:pBdr>
                <w:top w:val="nil"/>
                <w:left w:val="nil"/>
                <w:bottom w:val="nil"/>
                <w:right w:val="nil"/>
                <w:between w:val="nil"/>
              </w:pBdr>
              <w:spacing w:line="276" w:lineRule="auto"/>
              <w:rPr>
                <w:sz w:val="18"/>
                <w:szCs w:val="18"/>
              </w:rPr>
            </w:pPr>
          </w:p>
          <w:p w14:paraId="7798E159" w14:textId="77777777" w:rsidR="003547D1" w:rsidRPr="007F1D22" w:rsidRDefault="003547D1">
            <w:pPr>
              <w:keepLines/>
              <w:widowControl/>
              <w:pBdr>
                <w:top w:val="nil"/>
                <w:left w:val="nil"/>
                <w:bottom w:val="nil"/>
                <w:right w:val="nil"/>
                <w:between w:val="nil"/>
              </w:pBdr>
              <w:spacing w:line="276" w:lineRule="auto"/>
              <w:rPr>
                <w:sz w:val="18"/>
                <w:szCs w:val="18"/>
              </w:rPr>
            </w:pPr>
          </w:p>
          <w:p w14:paraId="3F0A12EF" w14:textId="77777777" w:rsidR="003547D1" w:rsidRPr="007F1D22" w:rsidRDefault="003547D1">
            <w:pPr>
              <w:keepLines/>
              <w:widowControl/>
              <w:pBdr>
                <w:top w:val="nil"/>
                <w:left w:val="nil"/>
                <w:bottom w:val="nil"/>
                <w:right w:val="nil"/>
                <w:between w:val="nil"/>
              </w:pBdr>
              <w:spacing w:line="276" w:lineRule="auto"/>
              <w:rPr>
                <w:sz w:val="18"/>
                <w:szCs w:val="18"/>
              </w:rPr>
            </w:pPr>
          </w:p>
          <w:p w14:paraId="0085418E" w14:textId="77777777" w:rsidR="003547D1" w:rsidRPr="007F1D22" w:rsidRDefault="003547D1">
            <w:pPr>
              <w:keepLines/>
              <w:widowControl/>
              <w:pBdr>
                <w:top w:val="nil"/>
                <w:left w:val="nil"/>
                <w:bottom w:val="nil"/>
                <w:right w:val="nil"/>
                <w:between w:val="nil"/>
              </w:pBdr>
              <w:spacing w:line="276" w:lineRule="auto"/>
              <w:rPr>
                <w:sz w:val="18"/>
                <w:szCs w:val="18"/>
              </w:rPr>
            </w:pPr>
          </w:p>
          <w:p w14:paraId="13309930" w14:textId="77777777" w:rsidR="003547D1" w:rsidRPr="007F1D22" w:rsidRDefault="003547D1">
            <w:pPr>
              <w:keepLines/>
              <w:widowControl/>
              <w:pBdr>
                <w:top w:val="nil"/>
                <w:left w:val="nil"/>
                <w:bottom w:val="nil"/>
                <w:right w:val="nil"/>
                <w:between w:val="nil"/>
              </w:pBdr>
              <w:spacing w:line="276" w:lineRule="auto"/>
              <w:rPr>
                <w:sz w:val="18"/>
                <w:szCs w:val="18"/>
                <w:u w:val="single"/>
              </w:rPr>
            </w:pPr>
          </w:p>
        </w:tc>
        <w:tc>
          <w:tcPr>
            <w:tcW w:w="4710" w:type="dxa"/>
          </w:tcPr>
          <w:p w14:paraId="4A718D8C" w14:textId="58B32E79" w:rsidR="003547D1" w:rsidRPr="007F1D22" w:rsidRDefault="00000000">
            <w:pPr>
              <w:keepLines/>
              <w:widowControl/>
              <w:spacing w:line="276" w:lineRule="auto"/>
              <w:rPr>
                <w:sz w:val="18"/>
                <w:szCs w:val="18"/>
              </w:rPr>
            </w:pPr>
            <w:r w:rsidRPr="007F1D22">
              <w:rPr>
                <w:sz w:val="18"/>
                <w:szCs w:val="18"/>
              </w:rPr>
              <w:lastRenderedPageBreak/>
              <w:t>Longer stay-out periods have the potential to incentivize cost containment if designed well. A model developed by Pacific Economics Group found that utility long-run cost performance on average improves 0.51% more rapidly each year in an MRP with a five-year term and no earnings sharing than it does under traditional regulation when rate cases occur every three years.</w:t>
            </w:r>
            <w:r w:rsidRPr="007F1D22">
              <w:rPr>
                <w:sz w:val="18"/>
                <w:szCs w:val="18"/>
                <w:vertAlign w:val="superscript"/>
              </w:rPr>
              <w:footnoteReference w:id="4"/>
            </w:r>
            <w:r w:rsidR="0027433F">
              <w:rPr>
                <w:sz w:val="18"/>
                <w:szCs w:val="18"/>
                <w:vertAlign w:val="superscript"/>
              </w:rPr>
              <w:t xml:space="preserve"> </w:t>
            </w:r>
          </w:p>
          <w:p w14:paraId="0150014D" w14:textId="77777777" w:rsidR="003547D1" w:rsidRPr="007F1D22" w:rsidRDefault="003547D1">
            <w:pPr>
              <w:keepLines/>
              <w:widowControl/>
              <w:spacing w:line="276" w:lineRule="auto"/>
              <w:rPr>
                <w:sz w:val="18"/>
                <w:szCs w:val="18"/>
                <w:u w:val="single"/>
              </w:rPr>
            </w:pPr>
          </w:p>
          <w:p w14:paraId="754EA323" w14:textId="4ADB0102" w:rsidR="003547D1" w:rsidRPr="007F1D22" w:rsidRDefault="00000000">
            <w:pPr>
              <w:keepLines/>
              <w:widowControl/>
              <w:spacing w:line="276" w:lineRule="auto"/>
              <w:rPr>
                <w:sz w:val="18"/>
                <w:szCs w:val="18"/>
              </w:rPr>
            </w:pPr>
            <w:r w:rsidRPr="007F1D22">
              <w:rPr>
                <w:sz w:val="18"/>
                <w:szCs w:val="18"/>
              </w:rPr>
              <w:t>Resetting a utility’s rates every two years reduces regulatory lag (i.e., the time between rate cases). Regulatory lag has traditionally served as a powerful</w:t>
            </w:r>
            <w:r w:rsidR="0027433F">
              <w:rPr>
                <w:sz w:val="18"/>
                <w:szCs w:val="18"/>
              </w:rPr>
              <w:t xml:space="preserve"> </w:t>
            </w:r>
            <w:r w:rsidRPr="007F1D22">
              <w:rPr>
                <w:sz w:val="18"/>
                <w:szCs w:val="18"/>
              </w:rPr>
              <w:t xml:space="preserve">incentive for cost efficiencies. Once rates are set, a utility’s earnings are higher if it can control costs. Conversely, if utility costs increase above revenues, profits will fall. Under the current two-year rate period, there is little incentive for the utility to control costs because if it overspends, it only </w:t>
            </w:r>
            <w:proofErr w:type="gramStart"/>
            <w:r w:rsidRPr="007F1D22">
              <w:rPr>
                <w:sz w:val="18"/>
                <w:szCs w:val="18"/>
              </w:rPr>
              <w:t>has to</w:t>
            </w:r>
            <w:proofErr w:type="gramEnd"/>
            <w:r w:rsidRPr="007F1D22">
              <w:rPr>
                <w:sz w:val="18"/>
                <w:szCs w:val="18"/>
              </w:rPr>
              <w:t xml:space="preserve"> wait a year until rates are reset.</w:t>
            </w:r>
            <w:r w:rsidR="0027433F">
              <w:rPr>
                <w:sz w:val="18"/>
                <w:szCs w:val="18"/>
              </w:rPr>
              <w:t xml:space="preserve"> </w:t>
            </w:r>
          </w:p>
          <w:p w14:paraId="64D57072" w14:textId="77777777" w:rsidR="003547D1" w:rsidRPr="007F1D22" w:rsidRDefault="003547D1">
            <w:pPr>
              <w:keepLines/>
              <w:widowControl/>
              <w:spacing w:line="276" w:lineRule="auto"/>
              <w:rPr>
                <w:sz w:val="18"/>
                <w:szCs w:val="18"/>
                <w:u w:val="single"/>
              </w:rPr>
            </w:pPr>
          </w:p>
          <w:p w14:paraId="2CC1F58D" w14:textId="1A2772DB" w:rsidR="003547D1" w:rsidRPr="007F1D22" w:rsidRDefault="00000000">
            <w:pPr>
              <w:keepLines/>
              <w:widowControl/>
              <w:spacing w:line="276" w:lineRule="auto"/>
              <w:rPr>
                <w:sz w:val="18"/>
                <w:szCs w:val="18"/>
              </w:rPr>
            </w:pPr>
            <w:r w:rsidRPr="007F1D22">
              <w:rPr>
                <w:sz w:val="18"/>
                <w:szCs w:val="18"/>
              </w:rPr>
              <w:lastRenderedPageBreak/>
              <w:t xml:space="preserve">A rate </w:t>
            </w:r>
            <w:proofErr w:type="gramStart"/>
            <w:r w:rsidRPr="007F1D22">
              <w:rPr>
                <w:sz w:val="18"/>
                <w:szCs w:val="18"/>
              </w:rPr>
              <w:t>review</w:t>
            </w:r>
            <w:proofErr w:type="gramEnd"/>
            <w:r w:rsidRPr="007F1D22">
              <w:rPr>
                <w:sz w:val="18"/>
                <w:szCs w:val="18"/>
              </w:rPr>
              <w:t xml:space="preserve"> every two years creates cost and time burden on regulators and intervening parties. The fact that reviews are frequent does not mean that stakeholders have the capacity for thorough quality scrutiny of utilities’ business decisions every time. Participation in frequent litigation cases is prohibitively expensive. While utilities can spend almost unlimited resources on litigation, since ratepayers </w:t>
            </w:r>
            <w:proofErr w:type="gramStart"/>
            <w:r w:rsidRPr="007F1D22">
              <w:rPr>
                <w:sz w:val="18"/>
                <w:szCs w:val="18"/>
              </w:rPr>
              <w:t>have to</w:t>
            </w:r>
            <w:proofErr w:type="gramEnd"/>
            <w:r w:rsidRPr="007F1D22">
              <w:rPr>
                <w:sz w:val="18"/>
                <w:szCs w:val="18"/>
              </w:rPr>
              <w:t xml:space="preserve"> pay for the utilities’ litigation expenses, this is not the case for other intervenors with much more limited resources and litigation capacity. Biennial reviews versus, for example, reviews that occur every </w:t>
            </w:r>
            <w:r w:rsidR="004C5651">
              <w:rPr>
                <w:sz w:val="18"/>
                <w:szCs w:val="18"/>
              </w:rPr>
              <w:t xml:space="preserve">three </w:t>
            </w:r>
            <w:r w:rsidRPr="007F1D22">
              <w:rPr>
                <w:sz w:val="18"/>
                <w:szCs w:val="18"/>
              </w:rPr>
              <w:t>years significantly increase litigation expenses for intervening parties</w:t>
            </w:r>
            <w:r w:rsidR="004C5651">
              <w:rPr>
                <w:sz w:val="18"/>
                <w:szCs w:val="18"/>
              </w:rPr>
              <w:t xml:space="preserve"> trying to cover both utilities.</w:t>
            </w:r>
            <w:r w:rsidRPr="007F1D22">
              <w:rPr>
                <w:sz w:val="18"/>
                <w:szCs w:val="18"/>
              </w:rPr>
              <w:t xml:space="preserve"> For example, entities like the Office of the Attorney General, which is charged with protecting ratepayers of all utility services, cannot double or triple their litigation budgets as easily as the utilities. The same applies for other intervenors with much more limited budgets that often represent the interests of residential customers and communities affected by utilities’ infrastructure plans. Thus, frequent reviews do not necessarily mean more accountability. On the contrary, the increasing litigation intensity necessary for utility regulation reduces intervenors’ capacity and risks thinning the depth of scrutiny. Furthermore, cases are often settled, which means that many of the issues that are intensely scrutinized by SCC staff and intervenors are not addressed by the Commission. </w:t>
            </w:r>
          </w:p>
          <w:p w14:paraId="27F5F5D8" w14:textId="77777777" w:rsidR="003547D1" w:rsidRPr="007F1D22" w:rsidRDefault="00000000">
            <w:pPr>
              <w:keepLines/>
              <w:widowControl/>
              <w:spacing w:line="276" w:lineRule="auto"/>
              <w:rPr>
                <w:sz w:val="18"/>
                <w:szCs w:val="18"/>
              </w:rPr>
            </w:pPr>
            <w:r w:rsidRPr="007F1D22">
              <w:rPr>
                <w:sz w:val="18"/>
                <w:szCs w:val="18"/>
              </w:rPr>
              <w:t xml:space="preserve"> </w:t>
            </w:r>
          </w:p>
          <w:p w14:paraId="21E52E38" w14:textId="77777777" w:rsidR="003547D1" w:rsidRPr="007F1D22" w:rsidRDefault="003547D1">
            <w:pPr>
              <w:keepLines/>
              <w:widowControl/>
              <w:pBdr>
                <w:top w:val="nil"/>
                <w:left w:val="nil"/>
                <w:bottom w:val="nil"/>
                <w:right w:val="nil"/>
                <w:between w:val="nil"/>
              </w:pBdr>
              <w:spacing w:line="276" w:lineRule="auto"/>
              <w:rPr>
                <w:sz w:val="18"/>
                <w:szCs w:val="18"/>
              </w:rPr>
            </w:pPr>
          </w:p>
        </w:tc>
      </w:tr>
      <w:tr w:rsidR="003547D1" w:rsidRPr="007F1D22" w14:paraId="45FD49D4" w14:textId="77777777">
        <w:trPr>
          <w:trHeight w:val="986"/>
        </w:trPr>
        <w:tc>
          <w:tcPr>
            <w:tcW w:w="1950" w:type="dxa"/>
            <w:vMerge/>
            <w:vAlign w:val="center"/>
          </w:tcPr>
          <w:p w14:paraId="3A59A715" w14:textId="77777777" w:rsidR="003547D1" w:rsidRPr="007F1D22" w:rsidRDefault="003547D1">
            <w:pPr>
              <w:pBdr>
                <w:top w:val="nil"/>
                <w:left w:val="nil"/>
                <w:bottom w:val="nil"/>
                <w:right w:val="nil"/>
                <w:between w:val="nil"/>
              </w:pBdr>
              <w:spacing w:line="276" w:lineRule="auto"/>
              <w:rPr>
                <w:sz w:val="18"/>
                <w:szCs w:val="18"/>
              </w:rPr>
            </w:pPr>
          </w:p>
        </w:tc>
        <w:tc>
          <w:tcPr>
            <w:tcW w:w="1695" w:type="dxa"/>
          </w:tcPr>
          <w:p w14:paraId="1C6BB436" w14:textId="77777777" w:rsidR="003547D1" w:rsidRPr="007F1D22" w:rsidRDefault="00000000">
            <w:pPr>
              <w:keepLines/>
              <w:widowControl/>
              <w:pBdr>
                <w:top w:val="nil"/>
                <w:left w:val="nil"/>
                <w:bottom w:val="nil"/>
                <w:right w:val="nil"/>
                <w:between w:val="nil"/>
              </w:pBdr>
              <w:spacing w:before="98" w:line="232" w:lineRule="auto"/>
              <w:ind w:left="104" w:right="149"/>
              <w:rPr>
                <w:color w:val="000000"/>
                <w:sz w:val="18"/>
                <w:szCs w:val="18"/>
              </w:rPr>
            </w:pPr>
            <w:r w:rsidRPr="007F1D22">
              <w:rPr>
                <w:color w:val="000000"/>
                <w:sz w:val="18"/>
                <w:szCs w:val="18"/>
              </w:rPr>
              <w:t>Forward-looking</w:t>
            </w:r>
          </w:p>
        </w:tc>
        <w:tc>
          <w:tcPr>
            <w:tcW w:w="1080" w:type="dxa"/>
            <w:gridSpan w:val="2"/>
          </w:tcPr>
          <w:p w14:paraId="6AED3E73" w14:textId="77777777" w:rsidR="003547D1" w:rsidRPr="007F1D22" w:rsidRDefault="003547D1">
            <w:pPr>
              <w:keepLines/>
              <w:widowControl/>
              <w:numPr>
                <w:ilvl w:val="0"/>
                <w:numId w:val="2"/>
              </w:numPr>
              <w:pBdr>
                <w:top w:val="nil"/>
                <w:left w:val="nil"/>
                <w:bottom w:val="nil"/>
                <w:right w:val="nil"/>
                <w:between w:val="nil"/>
              </w:pBdr>
              <w:rPr>
                <w:rFonts w:ascii="Times New Roman" w:eastAsia="Times New Roman" w:hAnsi="Times New Roman" w:cs="Times New Roman"/>
                <w:color w:val="000000"/>
                <w:sz w:val="18"/>
                <w:szCs w:val="18"/>
              </w:rPr>
            </w:pPr>
          </w:p>
        </w:tc>
        <w:tc>
          <w:tcPr>
            <w:tcW w:w="3840" w:type="dxa"/>
          </w:tcPr>
          <w:p w14:paraId="2A81C2E1" w14:textId="77777777" w:rsidR="003547D1" w:rsidRPr="007F1D22" w:rsidRDefault="00000000">
            <w:pPr>
              <w:keepLines/>
              <w:widowControl/>
              <w:pBdr>
                <w:top w:val="nil"/>
                <w:left w:val="nil"/>
                <w:bottom w:val="nil"/>
                <w:right w:val="nil"/>
                <w:between w:val="nil"/>
              </w:pBdr>
              <w:spacing w:line="276" w:lineRule="auto"/>
              <w:rPr>
                <w:sz w:val="18"/>
                <w:szCs w:val="18"/>
              </w:rPr>
            </w:pPr>
            <w:r w:rsidRPr="007F1D22">
              <w:rPr>
                <w:sz w:val="18"/>
                <w:szCs w:val="18"/>
              </w:rPr>
              <w:t xml:space="preserve">In biennial filings, the utilities use the </w:t>
            </w:r>
            <w:r w:rsidRPr="007F1D22">
              <w:rPr>
                <w:color w:val="000000"/>
                <w:sz w:val="18"/>
                <w:szCs w:val="18"/>
              </w:rPr>
              <w:t xml:space="preserve">two previous 12-month </w:t>
            </w:r>
            <w:r w:rsidRPr="007F1D22">
              <w:rPr>
                <w:sz w:val="18"/>
                <w:szCs w:val="18"/>
              </w:rPr>
              <w:t xml:space="preserve">periods </w:t>
            </w:r>
            <w:r w:rsidRPr="007F1D22">
              <w:rPr>
                <w:color w:val="000000"/>
                <w:sz w:val="18"/>
                <w:szCs w:val="18"/>
              </w:rPr>
              <w:t>as</w:t>
            </w:r>
            <w:r w:rsidRPr="007F1D22">
              <w:rPr>
                <w:sz w:val="18"/>
                <w:szCs w:val="18"/>
              </w:rPr>
              <w:t xml:space="preserve"> test years and adjust for the costs that are reasonably expected to be incurred during the following two rate years.</w:t>
            </w:r>
          </w:p>
          <w:p w14:paraId="4F1E0A61" w14:textId="77777777" w:rsidR="003547D1" w:rsidRPr="007F1D22" w:rsidRDefault="003547D1">
            <w:pPr>
              <w:keepLines/>
              <w:widowControl/>
              <w:pBdr>
                <w:top w:val="nil"/>
                <w:left w:val="nil"/>
                <w:bottom w:val="nil"/>
                <w:right w:val="nil"/>
                <w:between w:val="nil"/>
              </w:pBdr>
              <w:spacing w:line="276" w:lineRule="auto"/>
              <w:rPr>
                <w:color w:val="000000"/>
                <w:sz w:val="18"/>
                <w:szCs w:val="18"/>
              </w:rPr>
            </w:pPr>
          </w:p>
        </w:tc>
        <w:tc>
          <w:tcPr>
            <w:tcW w:w="4710" w:type="dxa"/>
          </w:tcPr>
          <w:p w14:paraId="4E810082" w14:textId="77777777" w:rsidR="003547D1" w:rsidRPr="007F1D22" w:rsidRDefault="00000000">
            <w:pPr>
              <w:keepLines/>
              <w:widowControl/>
              <w:pBdr>
                <w:top w:val="nil"/>
                <w:left w:val="nil"/>
                <w:bottom w:val="nil"/>
                <w:right w:val="nil"/>
                <w:between w:val="nil"/>
              </w:pBdr>
              <w:spacing w:line="276" w:lineRule="auto"/>
              <w:rPr>
                <w:color w:val="000000"/>
                <w:sz w:val="18"/>
                <w:szCs w:val="18"/>
              </w:rPr>
            </w:pPr>
            <w:r w:rsidRPr="007F1D22">
              <w:rPr>
                <w:color w:val="000000"/>
                <w:sz w:val="18"/>
                <w:szCs w:val="18"/>
              </w:rPr>
              <w:t>Because future costs are not known and measurable, regulators risk overcompensating a utility based on its forecasted costs, which may be inflated. Further, a future test year reduces regulatory lag, which attenuates a utility’s cost control incentive.</w:t>
            </w:r>
          </w:p>
        </w:tc>
      </w:tr>
      <w:tr w:rsidR="003547D1" w:rsidRPr="007F1D22" w14:paraId="43396EC7" w14:textId="77777777">
        <w:trPr>
          <w:trHeight w:val="509"/>
        </w:trPr>
        <w:tc>
          <w:tcPr>
            <w:tcW w:w="1950" w:type="dxa"/>
            <w:vMerge/>
            <w:vAlign w:val="center"/>
          </w:tcPr>
          <w:p w14:paraId="21061240" w14:textId="77777777" w:rsidR="003547D1" w:rsidRPr="007F1D22" w:rsidRDefault="003547D1">
            <w:pPr>
              <w:pBdr>
                <w:top w:val="nil"/>
                <w:left w:val="nil"/>
                <w:bottom w:val="nil"/>
                <w:right w:val="nil"/>
                <w:between w:val="nil"/>
              </w:pBdr>
              <w:spacing w:line="276" w:lineRule="auto"/>
              <w:rPr>
                <w:color w:val="000000"/>
                <w:sz w:val="18"/>
                <w:szCs w:val="18"/>
              </w:rPr>
            </w:pPr>
          </w:p>
        </w:tc>
        <w:tc>
          <w:tcPr>
            <w:tcW w:w="1695" w:type="dxa"/>
          </w:tcPr>
          <w:p w14:paraId="00F6D8A0" w14:textId="77777777" w:rsidR="003547D1" w:rsidRPr="007F1D22" w:rsidRDefault="00000000">
            <w:pPr>
              <w:keepLines/>
              <w:widowControl/>
              <w:pBdr>
                <w:top w:val="nil"/>
                <w:left w:val="nil"/>
                <w:bottom w:val="nil"/>
                <w:right w:val="nil"/>
                <w:between w:val="nil"/>
              </w:pBdr>
              <w:spacing w:before="98" w:line="232" w:lineRule="auto"/>
              <w:ind w:left="104" w:right="149"/>
              <w:rPr>
                <w:color w:val="000000"/>
                <w:sz w:val="18"/>
                <w:szCs w:val="18"/>
              </w:rPr>
            </w:pPr>
            <w:r w:rsidRPr="007F1D22">
              <w:rPr>
                <w:color w:val="000000"/>
                <w:sz w:val="18"/>
                <w:szCs w:val="18"/>
              </w:rPr>
              <w:t xml:space="preserve">Backward-looking (w/ earnings adjustments) </w:t>
            </w:r>
          </w:p>
        </w:tc>
        <w:tc>
          <w:tcPr>
            <w:tcW w:w="1080" w:type="dxa"/>
            <w:gridSpan w:val="2"/>
          </w:tcPr>
          <w:p w14:paraId="18E12E85" w14:textId="1958CD5D" w:rsidR="003547D1" w:rsidRPr="007F1D22" w:rsidRDefault="0027433F">
            <w:pPr>
              <w:keepLines/>
              <w:widowControl/>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Pr="007F1D22">
              <w:rPr>
                <w:b/>
                <w:color w:val="000000"/>
                <w:sz w:val="18"/>
                <w:szCs w:val="18"/>
              </w:rPr>
              <w:t>+</w:t>
            </w:r>
            <w:r>
              <w:rPr>
                <w:rFonts w:ascii="Times New Roman" w:eastAsia="Times New Roman" w:hAnsi="Times New Roman" w:cs="Times New Roman"/>
                <w:b/>
                <w:sz w:val="18"/>
                <w:szCs w:val="18"/>
              </w:rPr>
              <w:t xml:space="preserve"> </w:t>
            </w:r>
            <w:r w:rsidRPr="007F1D22">
              <w:rPr>
                <w:rFonts w:ascii="Times New Roman" w:eastAsia="Times New Roman" w:hAnsi="Times New Roman" w:cs="Times New Roman"/>
                <w:b/>
                <w:sz w:val="18"/>
                <w:szCs w:val="18"/>
              </w:rPr>
              <w:t xml:space="preserve"> </w:t>
            </w:r>
          </w:p>
        </w:tc>
        <w:tc>
          <w:tcPr>
            <w:tcW w:w="3840" w:type="dxa"/>
          </w:tcPr>
          <w:p w14:paraId="11C2673B" w14:textId="77777777" w:rsidR="003547D1" w:rsidRPr="007F1D22" w:rsidRDefault="00000000">
            <w:pPr>
              <w:keepLines/>
              <w:widowControl/>
              <w:pBdr>
                <w:top w:val="nil"/>
                <w:left w:val="nil"/>
                <w:bottom w:val="nil"/>
                <w:right w:val="nil"/>
                <w:between w:val="nil"/>
              </w:pBdr>
              <w:spacing w:line="276" w:lineRule="auto"/>
              <w:rPr>
                <w:color w:val="000000"/>
                <w:sz w:val="18"/>
                <w:szCs w:val="18"/>
              </w:rPr>
            </w:pPr>
            <w:r w:rsidRPr="007F1D22">
              <w:rPr>
                <w:color w:val="000000"/>
                <w:sz w:val="18"/>
                <w:szCs w:val="18"/>
              </w:rPr>
              <w:t>The backward</w:t>
            </w:r>
            <w:r w:rsidRPr="007F1D22">
              <w:rPr>
                <w:sz w:val="18"/>
                <w:szCs w:val="18"/>
              </w:rPr>
              <w:t>-</w:t>
            </w:r>
            <w:r w:rsidRPr="007F1D22">
              <w:rPr>
                <w:color w:val="000000"/>
                <w:sz w:val="18"/>
                <w:szCs w:val="18"/>
              </w:rPr>
              <w:t xml:space="preserve">looking analysis allows the Commission to identify </w:t>
            </w:r>
            <w:r w:rsidRPr="007F1D22">
              <w:rPr>
                <w:sz w:val="18"/>
                <w:szCs w:val="18"/>
              </w:rPr>
              <w:t>over-</w:t>
            </w:r>
            <w:r w:rsidRPr="007F1D22">
              <w:rPr>
                <w:color w:val="000000"/>
                <w:sz w:val="18"/>
                <w:szCs w:val="18"/>
              </w:rPr>
              <w:t xml:space="preserve"> or under-earnings to establish </w:t>
            </w:r>
            <w:r w:rsidRPr="007F1D22">
              <w:rPr>
                <w:sz w:val="18"/>
                <w:szCs w:val="18"/>
              </w:rPr>
              <w:t>whether</w:t>
            </w:r>
            <w:r w:rsidRPr="007F1D22">
              <w:rPr>
                <w:color w:val="000000"/>
                <w:sz w:val="18"/>
                <w:szCs w:val="18"/>
              </w:rPr>
              <w:t xml:space="preserve"> customers are due refunds. </w:t>
            </w:r>
          </w:p>
          <w:p w14:paraId="69FF0947" w14:textId="77777777" w:rsidR="003547D1" w:rsidRPr="007F1D22" w:rsidRDefault="003547D1">
            <w:pPr>
              <w:keepLines/>
              <w:widowControl/>
              <w:pBdr>
                <w:top w:val="nil"/>
                <w:left w:val="nil"/>
                <w:bottom w:val="nil"/>
                <w:right w:val="nil"/>
                <w:between w:val="nil"/>
              </w:pBdr>
              <w:spacing w:line="276" w:lineRule="auto"/>
              <w:rPr>
                <w:color w:val="000000"/>
                <w:sz w:val="18"/>
                <w:szCs w:val="18"/>
              </w:rPr>
            </w:pPr>
          </w:p>
          <w:p w14:paraId="7813CBE2" w14:textId="77777777" w:rsidR="003547D1" w:rsidRPr="007F1D22" w:rsidRDefault="00000000">
            <w:pPr>
              <w:keepLines/>
              <w:widowControl/>
              <w:pBdr>
                <w:top w:val="nil"/>
                <w:left w:val="nil"/>
                <w:bottom w:val="nil"/>
                <w:right w:val="nil"/>
                <w:between w:val="nil"/>
              </w:pBdr>
              <w:spacing w:line="276" w:lineRule="auto"/>
              <w:rPr>
                <w:sz w:val="18"/>
                <w:szCs w:val="18"/>
              </w:rPr>
            </w:pPr>
            <w:r w:rsidRPr="007F1D22">
              <w:rPr>
                <w:sz w:val="18"/>
                <w:szCs w:val="18"/>
                <w:u w:val="single"/>
              </w:rPr>
              <w:t>Dominion earnings sharing mechanism</w:t>
            </w:r>
            <w:r w:rsidRPr="007F1D22">
              <w:rPr>
                <w:sz w:val="18"/>
                <w:szCs w:val="18"/>
              </w:rPr>
              <w:t>: During biennial review, for the test period, if the Commission finds Dominion earned above its fair combined rate of return for generation and distribution services, 85% of earnings are credited to customers and Dominion retains 25%. If the utility earned more than 150 basis points above fair return, all earnings above 150 basis points are returned to customers.</w:t>
            </w:r>
          </w:p>
          <w:p w14:paraId="2A819297" w14:textId="77777777" w:rsidR="003547D1" w:rsidRPr="007F1D22" w:rsidRDefault="003547D1">
            <w:pPr>
              <w:keepLines/>
              <w:widowControl/>
              <w:pBdr>
                <w:top w:val="nil"/>
                <w:left w:val="nil"/>
                <w:bottom w:val="nil"/>
                <w:right w:val="nil"/>
                <w:between w:val="nil"/>
              </w:pBdr>
              <w:spacing w:line="276" w:lineRule="auto"/>
              <w:rPr>
                <w:sz w:val="18"/>
                <w:szCs w:val="18"/>
              </w:rPr>
            </w:pPr>
          </w:p>
          <w:p w14:paraId="47E17D80" w14:textId="77777777" w:rsidR="003547D1" w:rsidRPr="007F1D22" w:rsidRDefault="00000000">
            <w:pPr>
              <w:keepLines/>
              <w:widowControl/>
              <w:pBdr>
                <w:top w:val="nil"/>
                <w:left w:val="nil"/>
                <w:bottom w:val="nil"/>
                <w:right w:val="nil"/>
                <w:between w:val="nil"/>
              </w:pBdr>
              <w:spacing w:line="276" w:lineRule="auto"/>
              <w:rPr>
                <w:sz w:val="18"/>
                <w:szCs w:val="18"/>
              </w:rPr>
            </w:pPr>
            <w:r w:rsidRPr="007F1D22">
              <w:rPr>
                <w:sz w:val="18"/>
                <w:szCs w:val="18"/>
                <w:u w:val="single"/>
              </w:rPr>
              <w:t>APCo earnings sharing mechanism</w:t>
            </w:r>
            <w:r w:rsidRPr="007F1D22">
              <w:rPr>
                <w:sz w:val="18"/>
                <w:szCs w:val="18"/>
              </w:rPr>
              <w:t xml:space="preserve">: During biennial review, for the test period, if the Commission finds APCo earned more than 100 basis points above fair combined rate of return for generation and distribution services, customers receive 100% of the earnings above 100 basis points. </w:t>
            </w:r>
          </w:p>
          <w:p w14:paraId="30987EC1" w14:textId="77777777" w:rsidR="003547D1" w:rsidRPr="007F1D22" w:rsidRDefault="003547D1">
            <w:pPr>
              <w:keepLines/>
              <w:widowControl/>
              <w:pBdr>
                <w:top w:val="nil"/>
                <w:left w:val="nil"/>
                <w:bottom w:val="nil"/>
                <w:right w:val="nil"/>
                <w:between w:val="nil"/>
              </w:pBdr>
              <w:spacing w:line="276" w:lineRule="auto"/>
              <w:rPr>
                <w:color w:val="000000"/>
                <w:sz w:val="18"/>
                <w:szCs w:val="18"/>
              </w:rPr>
            </w:pPr>
          </w:p>
          <w:p w14:paraId="65437120" w14:textId="77777777" w:rsidR="003547D1" w:rsidRPr="007F1D22" w:rsidRDefault="003547D1">
            <w:pPr>
              <w:keepLines/>
              <w:widowControl/>
              <w:pBdr>
                <w:top w:val="nil"/>
                <w:left w:val="nil"/>
                <w:bottom w:val="nil"/>
                <w:right w:val="nil"/>
                <w:between w:val="nil"/>
              </w:pBdr>
              <w:spacing w:line="276" w:lineRule="auto"/>
              <w:rPr>
                <w:color w:val="000000"/>
                <w:sz w:val="18"/>
                <w:szCs w:val="18"/>
              </w:rPr>
            </w:pPr>
          </w:p>
        </w:tc>
        <w:tc>
          <w:tcPr>
            <w:tcW w:w="4710" w:type="dxa"/>
          </w:tcPr>
          <w:p w14:paraId="6757CF9C" w14:textId="77777777" w:rsidR="003547D1" w:rsidRPr="007F1D22" w:rsidRDefault="00000000">
            <w:pPr>
              <w:keepLines/>
              <w:widowControl/>
              <w:pBdr>
                <w:top w:val="nil"/>
                <w:left w:val="nil"/>
                <w:bottom w:val="nil"/>
                <w:right w:val="nil"/>
                <w:between w:val="nil"/>
              </w:pBdr>
              <w:spacing w:line="276" w:lineRule="auto"/>
              <w:rPr>
                <w:sz w:val="18"/>
                <w:szCs w:val="18"/>
              </w:rPr>
            </w:pPr>
            <w:r w:rsidRPr="007F1D22">
              <w:rPr>
                <w:sz w:val="18"/>
                <w:szCs w:val="18"/>
              </w:rPr>
              <w:t xml:space="preserve">It’s important to note that the current two-year rate period dampens any cost control signal from the earnings sharing mechanism for both APCo and Dominion because the utility would only get extra earnings delivered from possible cost efficiencies for one year until rates are reset in the next biennial rate review. </w:t>
            </w:r>
            <w:r w:rsidRPr="007F1D22">
              <w:rPr>
                <w:sz w:val="18"/>
                <w:szCs w:val="18"/>
              </w:rPr>
              <w:br/>
            </w:r>
          </w:p>
          <w:p w14:paraId="2EC47E99" w14:textId="51F0DD89" w:rsidR="003547D1" w:rsidRPr="007F1D22" w:rsidRDefault="00000000">
            <w:pPr>
              <w:keepLines/>
              <w:widowControl/>
              <w:pBdr>
                <w:top w:val="nil"/>
                <w:left w:val="nil"/>
                <w:bottom w:val="nil"/>
                <w:right w:val="nil"/>
                <w:between w:val="nil"/>
              </w:pBdr>
              <w:spacing w:line="276" w:lineRule="auto"/>
              <w:rPr>
                <w:color w:val="000000"/>
                <w:sz w:val="18"/>
                <w:szCs w:val="18"/>
              </w:rPr>
            </w:pPr>
            <w:r w:rsidRPr="007F1D22">
              <w:rPr>
                <w:sz w:val="18"/>
                <w:szCs w:val="18"/>
              </w:rPr>
              <w:t>The existence of a 100 basis-point deadband offers some cost-containment incentives to APCo as it is allowed to retain all earnings up to 100 basis points above its allowed return. The earnings test could increase cost containment incentives for APCo if the utility was allowed to retain some portion of the excess earnings over 100 basis points (e.g., 25%). However, the short duration between rate reviews may dampen the cost-containment incentives of the earnings test.</w:t>
            </w:r>
            <w:r w:rsidR="0027433F">
              <w:rPr>
                <w:sz w:val="18"/>
                <w:szCs w:val="18"/>
              </w:rPr>
              <w:t xml:space="preserve"> </w:t>
            </w:r>
          </w:p>
        </w:tc>
      </w:tr>
      <w:tr w:rsidR="003547D1" w:rsidRPr="007F1D22" w14:paraId="1B929CA0" w14:textId="77777777">
        <w:trPr>
          <w:trHeight w:val="302"/>
        </w:trPr>
        <w:tc>
          <w:tcPr>
            <w:tcW w:w="1950" w:type="dxa"/>
            <w:vAlign w:val="center"/>
          </w:tcPr>
          <w:p w14:paraId="0D5B8ECE" w14:textId="77777777" w:rsidR="003547D1" w:rsidRPr="007F1D22" w:rsidRDefault="00000000">
            <w:pPr>
              <w:keepLines/>
              <w:widowControl/>
              <w:pBdr>
                <w:top w:val="nil"/>
                <w:left w:val="nil"/>
                <w:bottom w:val="nil"/>
                <w:right w:val="nil"/>
                <w:between w:val="nil"/>
              </w:pBdr>
              <w:spacing w:line="266" w:lineRule="auto"/>
              <w:ind w:left="60"/>
              <w:rPr>
                <w:b/>
                <w:color w:val="000000"/>
                <w:sz w:val="18"/>
                <w:szCs w:val="18"/>
              </w:rPr>
            </w:pPr>
            <w:r w:rsidRPr="007F1D22">
              <w:rPr>
                <w:b/>
                <w:color w:val="000000"/>
                <w:sz w:val="18"/>
                <w:szCs w:val="18"/>
              </w:rPr>
              <w:lastRenderedPageBreak/>
              <w:t>ROE Determinations</w:t>
            </w:r>
          </w:p>
        </w:tc>
        <w:tc>
          <w:tcPr>
            <w:tcW w:w="1695" w:type="dxa"/>
          </w:tcPr>
          <w:p w14:paraId="0C822565" w14:textId="77777777" w:rsidR="003547D1" w:rsidRPr="007F1D22" w:rsidRDefault="003547D1">
            <w:pPr>
              <w:keepLines/>
              <w:widowControl/>
              <w:pBdr>
                <w:top w:val="nil"/>
                <w:left w:val="nil"/>
                <w:bottom w:val="nil"/>
                <w:right w:val="nil"/>
                <w:between w:val="nil"/>
              </w:pBdr>
              <w:spacing w:before="98" w:line="232" w:lineRule="auto"/>
              <w:ind w:left="104" w:right="149"/>
              <w:rPr>
                <w:color w:val="000000"/>
                <w:sz w:val="18"/>
                <w:szCs w:val="18"/>
              </w:rPr>
            </w:pPr>
          </w:p>
        </w:tc>
        <w:tc>
          <w:tcPr>
            <w:tcW w:w="1080" w:type="dxa"/>
            <w:gridSpan w:val="2"/>
          </w:tcPr>
          <w:p w14:paraId="77E13BC6" w14:textId="27686444" w:rsidR="003547D1" w:rsidRPr="0027433F" w:rsidRDefault="0027433F">
            <w:pPr>
              <w:keepLines/>
              <w:widowControl/>
              <w:pBdr>
                <w:top w:val="nil"/>
                <w:left w:val="nil"/>
                <w:bottom w:val="nil"/>
                <w:right w:val="nil"/>
                <w:between w:val="nil"/>
              </w:pBdr>
              <w:rPr>
                <w:rFonts w:ascii="Times New Roman" w:eastAsia="Times New Roman" w:hAnsi="Times New Roman" w:cs="Times New Roman"/>
                <w:b/>
                <w:bCs/>
                <w:color w:val="000000"/>
              </w:rPr>
            </w:pPr>
            <w:r w:rsidRPr="0027433F">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 xml:space="preserve">  </w:t>
            </w:r>
            <w:r>
              <w:rPr>
                <w:b/>
                <w:color w:val="000000"/>
                <w:sz w:val="18"/>
                <w:szCs w:val="18"/>
              </w:rPr>
              <w:t>0</w:t>
            </w:r>
            <w:r>
              <w:rPr>
                <w:rFonts w:ascii="Times New Roman" w:eastAsia="Times New Roman" w:hAnsi="Times New Roman" w:cs="Times New Roman"/>
                <w:b/>
                <w:sz w:val="18"/>
                <w:szCs w:val="18"/>
              </w:rPr>
              <w:t xml:space="preserve"> </w:t>
            </w:r>
            <w:r w:rsidRPr="007F1D22">
              <w:rPr>
                <w:rFonts w:ascii="Times New Roman" w:eastAsia="Times New Roman" w:hAnsi="Times New Roman" w:cs="Times New Roman"/>
                <w:b/>
                <w:sz w:val="18"/>
                <w:szCs w:val="18"/>
              </w:rPr>
              <w:t xml:space="preserve"> </w:t>
            </w:r>
          </w:p>
        </w:tc>
        <w:tc>
          <w:tcPr>
            <w:tcW w:w="3840" w:type="dxa"/>
          </w:tcPr>
          <w:p w14:paraId="16BF21F4" w14:textId="77777777" w:rsidR="003547D1" w:rsidRPr="007F1D22" w:rsidRDefault="00000000">
            <w:pPr>
              <w:keepLines/>
              <w:widowControl/>
              <w:pBdr>
                <w:top w:val="nil"/>
                <w:left w:val="nil"/>
                <w:bottom w:val="nil"/>
                <w:right w:val="nil"/>
                <w:between w:val="nil"/>
              </w:pBdr>
              <w:spacing w:line="276" w:lineRule="auto"/>
              <w:rPr>
                <w:sz w:val="18"/>
                <w:szCs w:val="18"/>
              </w:rPr>
            </w:pPr>
            <w:r w:rsidRPr="007F1D22">
              <w:rPr>
                <w:sz w:val="18"/>
                <w:szCs w:val="18"/>
              </w:rPr>
              <w:t>The 2007 Re-regulation Act imposed heavy restrictions on the Commission’s ability to set APCo and Dominion’s authorized return on equity (ROE). Under this law, the SCC could not set an electric utility’s ROE below a “floor” based on the average ROE of a statutorily proscribed group of so-called “peer” companies. This artificial floor resulted in SCC-recommended ROE rates that were higher than what they would have been absent the restrictions.</w:t>
            </w:r>
            <w:r w:rsidRPr="007F1D22">
              <w:rPr>
                <w:sz w:val="18"/>
                <w:szCs w:val="18"/>
                <w:vertAlign w:val="superscript"/>
              </w:rPr>
              <w:footnoteReference w:id="5"/>
            </w:r>
            <w:r w:rsidRPr="007F1D22">
              <w:rPr>
                <w:sz w:val="18"/>
                <w:szCs w:val="18"/>
              </w:rPr>
              <w:t xml:space="preserve"> The 2023 reforms that restored many fundamental authorities to the SCC statutorily established Dominion’s ROE for the 2023 rate case; however, moving forward, the SCC will have no restrictions on setting utilities’ ROE. </w:t>
            </w:r>
            <w:r w:rsidRPr="007F1D22">
              <w:rPr>
                <w:sz w:val="18"/>
                <w:szCs w:val="18"/>
              </w:rPr>
              <w:br/>
            </w:r>
          </w:p>
          <w:p w14:paraId="3D864D41" w14:textId="77777777" w:rsidR="003547D1" w:rsidRPr="007F1D22" w:rsidRDefault="00000000">
            <w:pPr>
              <w:keepLines/>
              <w:widowControl/>
              <w:pBdr>
                <w:top w:val="nil"/>
                <w:left w:val="nil"/>
                <w:bottom w:val="nil"/>
                <w:right w:val="nil"/>
                <w:between w:val="nil"/>
              </w:pBdr>
              <w:spacing w:line="276" w:lineRule="auto"/>
              <w:rPr>
                <w:sz w:val="18"/>
                <w:szCs w:val="18"/>
              </w:rPr>
            </w:pPr>
            <w:r w:rsidRPr="007F1D22">
              <w:rPr>
                <w:sz w:val="18"/>
                <w:szCs w:val="18"/>
              </w:rPr>
              <w:t xml:space="preserve">The consequence of the long-time restriction over ROE setting seems to be inflated profits that have contributed to increased costs for the last fifteen years. </w:t>
            </w:r>
          </w:p>
        </w:tc>
        <w:tc>
          <w:tcPr>
            <w:tcW w:w="4710" w:type="dxa"/>
          </w:tcPr>
          <w:p w14:paraId="644E989E" w14:textId="77777777" w:rsidR="003547D1" w:rsidRPr="007F1D22" w:rsidRDefault="00000000">
            <w:pPr>
              <w:keepLines/>
              <w:widowControl/>
              <w:spacing w:line="276" w:lineRule="auto"/>
              <w:rPr>
                <w:sz w:val="18"/>
                <w:szCs w:val="18"/>
              </w:rPr>
            </w:pPr>
            <w:r w:rsidRPr="007F1D22">
              <w:rPr>
                <w:sz w:val="18"/>
                <w:szCs w:val="18"/>
              </w:rPr>
              <w:t xml:space="preserve">When a utility’s ROE is higher than its cost of equity (i.e., cost of borrowing), it can negatively impact affordability and cost efficiency. This is because when a utility’s ROE is greater than the cost of borrowing, utilities have a financial incentive to maximize their capital expenditures </w:t>
            </w:r>
            <w:proofErr w:type="gramStart"/>
            <w:r w:rsidRPr="007F1D22">
              <w:rPr>
                <w:sz w:val="18"/>
                <w:szCs w:val="18"/>
              </w:rPr>
              <w:t>in order to</w:t>
            </w:r>
            <w:proofErr w:type="gramEnd"/>
            <w:r w:rsidRPr="007F1D22">
              <w:rPr>
                <w:sz w:val="18"/>
                <w:szCs w:val="18"/>
              </w:rPr>
              <w:t xml:space="preserve"> increase rate base and thereby increase profits. In addition to providing a utility with an incentive to increase its rate base, which ultimately increases rates, it also disincentivizes the utility from considering potential lower-cost investments such as non-wires alternatives, energy efficiency, and demand response.</w:t>
            </w:r>
          </w:p>
          <w:p w14:paraId="3641D5B8" w14:textId="77777777" w:rsidR="003547D1" w:rsidRPr="007F1D22" w:rsidRDefault="003547D1">
            <w:pPr>
              <w:keepLines/>
              <w:widowControl/>
              <w:pBdr>
                <w:top w:val="nil"/>
                <w:left w:val="nil"/>
                <w:bottom w:val="nil"/>
                <w:right w:val="nil"/>
                <w:between w:val="nil"/>
              </w:pBdr>
              <w:spacing w:line="276" w:lineRule="auto"/>
              <w:rPr>
                <w:sz w:val="18"/>
                <w:szCs w:val="18"/>
              </w:rPr>
            </w:pPr>
          </w:p>
          <w:p w14:paraId="16B0B209" w14:textId="77777777" w:rsidR="003547D1" w:rsidRPr="007F1D22" w:rsidRDefault="00000000">
            <w:pPr>
              <w:keepLines/>
              <w:widowControl/>
              <w:pBdr>
                <w:top w:val="nil"/>
                <w:left w:val="nil"/>
                <w:bottom w:val="nil"/>
                <w:right w:val="nil"/>
                <w:between w:val="nil"/>
              </w:pBdr>
              <w:spacing w:line="276" w:lineRule="auto"/>
              <w:rPr>
                <w:color w:val="000000"/>
                <w:sz w:val="18"/>
                <w:szCs w:val="18"/>
              </w:rPr>
            </w:pPr>
            <w:r w:rsidRPr="007F1D22">
              <w:rPr>
                <w:color w:val="000000"/>
                <w:sz w:val="18"/>
                <w:szCs w:val="18"/>
              </w:rPr>
              <w:t>It is also important that the ROE determination include an examination of the use of riders (see below</w:t>
            </w:r>
            <w:r w:rsidRPr="007F1D22">
              <w:rPr>
                <w:sz w:val="18"/>
                <w:szCs w:val="18"/>
              </w:rPr>
              <w:t xml:space="preserve">) </w:t>
            </w:r>
            <w:r w:rsidRPr="007F1D22">
              <w:rPr>
                <w:color w:val="000000"/>
                <w:sz w:val="18"/>
                <w:szCs w:val="18"/>
              </w:rPr>
              <w:t xml:space="preserve">and PIMs. Regulators should account for the earnings potential (or potential penalties) associated with PIMs when setting the ROE. For example, if the utility is subject to reward-only PIMs, then its ROE should be set at the lower end of the range of reasonableness to account for the potential additional earnings from PIMs. </w:t>
            </w:r>
          </w:p>
          <w:p w14:paraId="13AAD3F8" w14:textId="77777777" w:rsidR="003547D1" w:rsidRPr="007F1D22" w:rsidRDefault="003547D1">
            <w:pPr>
              <w:keepLines/>
              <w:widowControl/>
              <w:pBdr>
                <w:top w:val="nil"/>
                <w:left w:val="nil"/>
                <w:bottom w:val="nil"/>
                <w:right w:val="nil"/>
                <w:between w:val="nil"/>
              </w:pBdr>
              <w:spacing w:line="276" w:lineRule="auto"/>
              <w:rPr>
                <w:color w:val="000000"/>
                <w:sz w:val="18"/>
                <w:szCs w:val="18"/>
              </w:rPr>
            </w:pPr>
          </w:p>
        </w:tc>
      </w:tr>
      <w:tr w:rsidR="003547D1" w:rsidRPr="007F1D22" w14:paraId="046926A8" w14:textId="77777777">
        <w:trPr>
          <w:trHeight w:val="29871"/>
        </w:trPr>
        <w:tc>
          <w:tcPr>
            <w:tcW w:w="1950" w:type="dxa"/>
            <w:vMerge w:val="restart"/>
            <w:vAlign w:val="center"/>
          </w:tcPr>
          <w:p w14:paraId="628F5D32" w14:textId="77777777" w:rsidR="003547D1" w:rsidRPr="007F1D22" w:rsidRDefault="00000000">
            <w:pPr>
              <w:keepLines/>
              <w:widowControl/>
              <w:pBdr>
                <w:top w:val="nil"/>
                <w:left w:val="nil"/>
                <w:bottom w:val="nil"/>
                <w:right w:val="nil"/>
                <w:between w:val="nil"/>
              </w:pBdr>
              <w:spacing w:line="268" w:lineRule="auto"/>
              <w:ind w:left="60"/>
              <w:rPr>
                <w:b/>
                <w:color w:val="000000"/>
                <w:sz w:val="18"/>
                <w:szCs w:val="18"/>
              </w:rPr>
            </w:pPr>
            <w:r w:rsidRPr="007F1D22">
              <w:rPr>
                <w:b/>
                <w:color w:val="000000"/>
                <w:sz w:val="18"/>
                <w:szCs w:val="18"/>
              </w:rPr>
              <w:lastRenderedPageBreak/>
              <w:t>Rate Adjustment Clauses (i.e., trackers)</w:t>
            </w:r>
          </w:p>
        </w:tc>
        <w:tc>
          <w:tcPr>
            <w:tcW w:w="1695" w:type="dxa"/>
          </w:tcPr>
          <w:p w14:paraId="30F73469" w14:textId="77777777" w:rsidR="003547D1" w:rsidRPr="007F1D22" w:rsidRDefault="00000000">
            <w:pPr>
              <w:keepLines/>
              <w:widowControl/>
              <w:pBdr>
                <w:top w:val="nil"/>
                <w:left w:val="nil"/>
                <w:bottom w:val="nil"/>
                <w:right w:val="nil"/>
                <w:between w:val="nil"/>
              </w:pBdr>
              <w:spacing w:line="207" w:lineRule="auto"/>
              <w:ind w:left="104"/>
              <w:rPr>
                <w:color w:val="000000"/>
                <w:sz w:val="18"/>
                <w:szCs w:val="18"/>
              </w:rPr>
            </w:pPr>
            <w:r w:rsidRPr="007F1D22">
              <w:rPr>
                <w:color w:val="000000"/>
                <w:sz w:val="18"/>
                <w:szCs w:val="18"/>
              </w:rPr>
              <w:t>RACs overall (general assessment of the use of RACs)</w:t>
            </w:r>
          </w:p>
          <w:p w14:paraId="16A2738B" w14:textId="77777777" w:rsidR="003547D1" w:rsidRPr="007F1D22" w:rsidRDefault="003547D1">
            <w:pPr>
              <w:keepLines/>
              <w:widowControl/>
              <w:pBdr>
                <w:top w:val="nil"/>
                <w:left w:val="nil"/>
                <w:bottom w:val="nil"/>
                <w:right w:val="nil"/>
                <w:between w:val="nil"/>
              </w:pBdr>
              <w:spacing w:line="207" w:lineRule="auto"/>
              <w:rPr>
                <w:color w:val="000000"/>
                <w:sz w:val="18"/>
                <w:szCs w:val="18"/>
                <w:u w:val="single"/>
              </w:rPr>
            </w:pPr>
          </w:p>
          <w:p w14:paraId="71375557" w14:textId="77777777" w:rsidR="003547D1" w:rsidRPr="007F1D22" w:rsidRDefault="003547D1">
            <w:pPr>
              <w:keepLines/>
              <w:widowControl/>
              <w:pBdr>
                <w:top w:val="nil"/>
                <w:left w:val="nil"/>
                <w:bottom w:val="nil"/>
                <w:right w:val="nil"/>
                <w:between w:val="nil"/>
              </w:pBdr>
              <w:spacing w:line="207" w:lineRule="auto"/>
              <w:ind w:left="104"/>
              <w:rPr>
                <w:color w:val="000000"/>
                <w:sz w:val="18"/>
                <w:szCs w:val="18"/>
                <w:u w:val="single"/>
              </w:rPr>
            </w:pPr>
          </w:p>
        </w:tc>
        <w:tc>
          <w:tcPr>
            <w:tcW w:w="1080" w:type="dxa"/>
            <w:gridSpan w:val="2"/>
          </w:tcPr>
          <w:p w14:paraId="72D1CD22" w14:textId="77777777" w:rsidR="003547D1" w:rsidRPr="007F1D22" w:rsidRDefault="00000000">
            <w:pPr>
              <w:keepLines/>
              <w:widowControl/>
              <w:pBdr>
                <w:top w:val="nil"/>
                <w:left w:val="nil"/>
                <w:bottom w:val="nil"/>
                <w:right w:val="nil"/>
                <w:between w:val="nil"/>
              </w:pBdr>
              <w:jc w:val="center"/>
              <w:rPr>
                <w:b/>
                <w:color w:val="000000"/>
                <w:sz w:val="18"/>
                <w:szCs w:val="18"/>
              </w:rPr>
            </w:pPr>
            <w:r w:rsidRPr="007F1D22">
              <w:rPr>
                <w:rFonts w:ascii="Times New Roman" w:eastAsia="Times New Roman" w:hAnsi="Times New Roman" w:cs="Times New Roman"/>
                <w:b/>
                <w:sz w:val="18"/>
                <w:szCs w:val="18"/>
              </w:rPr>
              <w:t>-</w:t>
            </w:r>
          </w:p>
        </w:tc>
        <w:tc>
          <w:tcPr>
            <w:tcW w:w="3840" w:type="dxa"/>
          </w:tcPr>
          <w:p w14:paraId="75B78C28" w14:textId="77777777" w:rsidR="003547D1" w:rsidRPr="007F1D22" w:rsidRDefault="00000000">
            <w:pPr>
              <w:keepLines/>
              <w:widowControl/>
              <w:pBdr>
                <w:top w:val="nil"/>
                <w:left w:val="nil"/>
                <w:bottom w:val="nil"/>
                <w:right w:val="nil"/>
                <w:between w:val="nil"/>
              </w:pBdr>
              <w:spacing w:line="276" w:lineRule="auto"/>
              <w:rPr>
                <w:sz w:val="18"/>
                <w:szCs w:val="18"/>
              </w:rPr>
            </w:pPr>
            <w:r w:rsidRPr="007F1D22">
              <w:rPr>
                <w:sz w:val="18"/>
                <w:szCs w:val="18"/>
              </w:rPr>
              <w:t xml:space="preserve">RACs benefit the utility by allowing it to recover costs more quickly but disincentivize cost containment incentives and undermine affordability. </w:t>
            </w:r>
          </w:p>
          <w:p w14:paraId="1D88CFA6" w14:textId="77777777" w:rsidR="003547D1" w:rsidRPr="007F1D22" w:rsidRDefault="003547D1">
            <w:pPr>
              <w:keepLines/>
              <w:widowControl/>
              <w:pBdr>
                <w:top w:val="nil"/>
                <w:left w:val="nil"/>
                <w:bottom w:val="nil"/>
                <w:right w:val="nil"/>
                <w:between w:val="nil"/>
              </w:pBdr>
              <w:spacing w:line="276" w:lineRule="auto"/>
              <w:rPr>
                <w:sz w:val="18"/>
                <w:szCs w:val="18"/>
              </w:rPr>
            </w:pPr>
          </w:p>
          <w:p w14:paraId="2492C330" w14:textId="77777777" w:rsidR="003547D1" w:rsidRPr="007F1D22" w:rsidRDefault="00000000">
            <w:pPr>
              <w:keepLines/>
              <w:widowControl/>
              <w:pBdr>
                <w:top w:val="nil"/>
                <w:left w:val="nil"/>
                <w:bottom w:val="nil"/>
                <w:right w:val="nil"/>
                <w:between w:val="nil"/>
              </w:pBdr>
              <w:spacing w:line="276" w:lineRule="auto"/>
              <w:rPr>
                <w:sz w:val="18"/>
                <w:szCs w:val="18"/>
              </w:rPr>
            </w:pPr>
            <w:r w:rsidRPr="007F1D22">
              <w:rPr>
                <w:sz w:val="18"/>
                <w:szCs w:val="18"/>
              </w:rPr>
              <w:t xml:space="preserve">Cost trackers erode a utility's incentive to control costs because the utility is allowed to reconcile revenues to actual costs each year. There is therefore no incentive for the utility to control its costs or seek cost efficiencies. </w:t>
            </w:r>
          </w:p>
          <w:p w14:paraId="2D56BE8A" w14:textId="77777777" w:rsidR="003547D1" w:rsidRPr="007F1D22" w:rsidRDefault="003547D1">
            <w:pPr>
              <w:keepLines/>
              <w:widowControl/>
              <w:pBdr>
                <w:top w:val="nil"/>
                <w:left w:val="nil"/>
                <w:bottom w:val="nil"/>
                <w:right w:val="nil"/>
                <w:between w:val="nil"/>
              </w:pBdr>
              <w:spacing w:line="276" w:lineRule="auto"/>
              <w:rPr>
                <w:color w:val="000000"/>
                <w:sz w:val="18"/>
                <w:szCs w:val="18"/>
              </w:rPr>
            </w:pPr>
          </w:p>
          <w:p w14:paraId="73D86D27" w14:textId="77777777" w:rsidR="003547D1" w:rsidRPr="007F1D22" w:rsidRDefault="003547D1">
            <w:pPr>
              <w:keepLines/>
              <w:widowControl/>
              <w:pBdr>
                <w:top w:val="nil"/>
                <w:left w:val="nil"/>
                <w:bottom w:val="nil"/>
                <w:right w:val="nil"/>
                <w:between w:val="nil"/>
              </w:pBdr>
              <w:spacing w:line="276" w:lineRule="auto"/>
              <w:rPr>
                <w:color w:val="000000"/>
                <w:sz w:val="18"/>
                <w:szCs w:val="18"/>
              </w:rPr>
            </w:pPr>
          </w:p>
          <w:p w14:paraId="50E053C6" w14:textId="77777777" w:rsidR="003547D1" w:rsidRPr="007F1D22" w:rsidRDefault="003547D1">
            <w:pPr>
              <w:keepLines/>
              <w:widowControl/>
              <w:pBdr>
                <w:top w:val="nil"/>
                <w:left w:val="nil"/>
                <w:bottom w:val="nil"/>
                <w:right w:val="nil"/>
                <w:between w:val="nil"/>
              </w:pBdr>
              <w:spacing w:line="276" w:lineRule="auto"/>
              <w:rPr>
                <w:color w:val="000000"/>
                <w:sz w:val="18"/>
                <w:szCs w:val="18"/>
              </w:rPr>
            </w:pPr>
          </w:p>
        </w:tc>
        <w:tc>
          <w:tcPr>
            <w:tcW w:w="4710" w:type="dxa"/>
          </w:tcPr>
          <w:p w14:paraId="48FAAE44" w14:textId="77777777" w:rsidR="003547D1" w:rsidRPr="007F1D22" w:rsidRDefault="00000000">
            <w:pPr>
              <w:pBdr>
                <w:top w:val="nil"/>
                <w:left w:val="nil"/>
                <w:bottom w:val="nil"/>
                <w:right w:val="nil"/>
                <w:between w:val="nil"/>
              </w:pBdr>
              <w:spacing w:line="276" w:lineRule="auto"/>
              <w:rPr>
                <w:sz w:val="18"/>
                <w:szCs w:val="18"/>
              </w:rPr>
            </w:pPr>
            <w:r w:rsidRPr="007F1D22">
              <w:rPr>
                <w:sz w:val="18"/>
                <w:szCs w:val="18"/>
              </w:rPr>
              <w:t xml:space="preserve">The 2007 Re-regulation Act created a cost recovery mechanism called rate adjustment clauses (RACs), mostly known in other jurisdictions as riders. RACs allow utilities to recover certain costs through special issue charges outside of base rates. RACs provide substantial benefits for utilities, since RAC-eligible costs are guaranteed to be recovered by the utility, along with its fair rate of return. This construct is a substantial departure from traditional rate-making principles whereby regulation is not supposed to guarantee utility profitability, but it is supposed to ensure utilities </w:t>
            </w:r>
            <w:proofErr w:type="gramStart"/>
            <w:r w:rsidRPr="007F1D22">
              <w:rPr>
                <w:sz w:val="18"/>
                <w:szCs w:val="18"/>
              </w:rPr>
              <w:t xml:space="preserve">have the </w:t>
            </w:r>
            <w:r w:rsidRPr="007F1D22">
              <w:rPr>
                <w:i/>
                <w:sz w:val="18"/>
                <w:szCs w:val="18"/>
              </w:rPr>
              <w:t>opportunity t</w:t>
            </w:r>
            <w:r w:rsidRPr="007F1D22">
              <w:rPr>
                <w:sz w:val="18"/>
                <w:szCs w:val="18"/>
              </w:rPr>
              <w:t>o</w:t>
            </w:r>
            <w:proofErr w:type="gramEnd"/>
            <w:r w:rsidRPr="007F1D22">
              <w:rPr>
                <w:sz w:val="18"/>
                <w:szCs w:val="18"/>
              </w:rPr>
              <w:t xml:space="preserve"> recover costs and be profitable </w:t>
            </w:r>
            <w:r w:rsidRPr="007F1D22">
              <w:rPr>
                <w:b/>
                <w:sz w:val="18"/>
                <w:szCs w:val="18"/>
              </w:rPr>
              <w:t>if business decisions are reasonable</w:t>
            </w:r>
            <w:r w:rsidRPr="007F1D22">
              <w:rPr>
                <w:sz w:val="18"/>
                <w:szCs w:val="18"/>
              </w:rPr>
              <w:t>. </w:t>
            </w:r>
          </w:p>
          <w:p w14:paraId="53FC50A7" w14:textId="77777777" w:rsidR="003547D1" w:rsidRPr="007F1D22" w:rsidRDefault="003547D1">
            <w:pPr>
              <w:pBdr>
                <w:top w:val="nil"/>
                <w:left w:val="nil"/>
                <w:bottom w:val="nil"/>
                <w:right w:val="nil"/>
                <w:between w:val="nil"/>
              </w:pBdr>
              <w:spacing w:line="276" w:lineRule="auto"/>
              <w:rPr>
                <w:sz w:val="18"/>
                <w:szCs w:val="18"/>
              </w:rPr>
            </w:pPr>
          </w:p>
          <w:p w14:paraId="11AEEA5E" w14:textId="32C2077D" w:rsidR="003547D1" w:rsidRPr="007F1D22" w:rsidRDefault="00000000">
            <w:pPr>
              <w:pBdr>
                <w:top w:val="nil"/>
                <w:left w:val="nil"/>
                <w:bottom w:val="nil"/>
                <w:right w:val="nil"/>
                <w:between w:val="nil"/>
              </w:pBdr>
              <w:spacing w:line="276" w:lineRule="auto"/>
              <w:rPr>
                <w:sz w:val="18"/>
                <w:szCs w:val="18"/>
              </w:rPr>
            </w:pPr>
            <w:r w:rsidRPr="007F1D22">
              <w:rPr>
                <w:sz w:val="18"/>
                <w:szCs w:val="18"/>
              </w:rPr>
              <w:t>Although rider treatment for specific strategic programs and investments is a common practice for utilities in multiple jurisdictions, in Virginia, riders are transitioning to be the primary cost recovery mechanism, slowly replacing the base rate.</w:t>
            </w:r>
            <w:r w:rsidR="007F1D22">
              <w:rPr>
                <w:sz w:val="18"/>
                <w:szCs w:val="18"/>
              </w:rPr>
              <w:t xml:space="preserve"> </w:t>
            </w:r>
            <w:r w:rsidRPr="007F1D22">
              <w:rPr>
                <w:sz w:val="18"/>
                <w:szCs w:val="18"/>
              </w:rPr>
              <w:t>Today, more than 50% of utility costs are recovered through riders, and this trend is set to continue. Dominion Energy estimated that “75% of the $35.5 billion of capex would be eligible to be recovered through RACs. As a result, by 2029, DEI [Dominion Energy, Inc.] projected that a total of 62% of DEV's $63.4 billion net rate base would be eligible to be recovered through RACs.” </w:t>
            </w:r>
            <w:r w:rsidRPr="007F1D22">
              <w:rPr>
                <w:sz w:val="18"/>
                <w:szCs w:val="18"/>
                <w:vertAlign w:val="superscript"/>
              </w:rPr>
              <w:footnoteReference w:id="6"/>
            </w:r>
          </w:p>
          <w:p w14:paraId="7E61C780" w14:textId="77777777" w:rsidR="003547D1" w:rsidRPr="007F1D22" w:rsidRDefault="003547D1">
            <w:pPr>
              <w:pBdr>
                <w:top w:val="nil"/>
                <w:left w:val="nil"/>
                <w:bottom w:val="nil"/>
                <w:right w:val="nil"/>
                <w:between w:val="nil"/>
              </w:pBdr>
              <w:spacing w:line="276" w:lineRule="auto"/>
              <w:rPr>
                <w:sz w:val="18"/>
                <w:szCs w:val="18"/>
              </w:rPr>
            </w:pPr>
          </w:p>
          <w:p w14:paraId="082F71EA" w14:textId="77777777" w:rsidR="003547D1" w:rsidRPr="007F1D22" w:rsidRDefault="00000000">
            <w:pPr>
              <w:pBdr>
                <w:top w:val="nil"/>
                <w:left w:val="nil"/>
                <w:bottom w:val="nil"/>
                <w:right w:val="nil"/>
                <w:between w:val="nil"/>
              </w:pBdr>
              <w:spacing w:line="276" w:lineRule="auto"/>
              <w:rPr>
                <w:sz w:val="18"/>
                <w:szCs w:val="18"/>
              </w:rPr>
            </w:pPr>
            <w:r w:rsidRPr="007F1D22">
              <w:rPr>
                <w:sz w:val="18"/>
                <w:szCs w:val="18"/>
              </w:rPr>
              <w:t xml:space="preserve">Having </w:t>
            </w:r>
            <w:proofErr w:type="gramStart"/>
            <w:r w:rsidRPr="007F1D22">
              <w:rPr>
                <w:sz w:val="18"/>
                <w:szCs w:val="18"/>
              </w:rPr>
              <w:t>a large number of</w:t>
            </w:r>
            <w:proofErr w:type="gramEnd"/>
            <w:r w:rsidRPr="007F1D22">
              <w:rPr>
                <w:sz w:val="18"/>
                <w:szCs w:val="18"/>
              </w:rPr>
              <w:t xml:space="preserve"> RACs essentially shifts Virginia’s regulatory framework toward a formula rate plan (FRP). </w:t>
            </w:r>
            <w:proofErr w:type="gramStart"/>
            <w:r w:rsidRPr="007F1D22">
              <w:rPr>
                <w:sz w:val="18"/>
                <w:szCs w:val="18"/>
              </w:rPr>
              <w:t>Similar to</w:t>
            </w:r>
            <w:proofErr w:type="gramEnd"/>
            <w:r w:rsidRPr="007F1D22">
              <w:rPr>
                <w:sz w:val="18"/>
                <w:szCs w:val="18"/>
              </w:rPr>
              <w:t xml:space="preserve"> RACs, FRPs allow for a utility to true-up revenues to actual costs. Other jurisdictions have found that FRPs create negative outcomes for customers. In Arkansas, Entergy had an FRP with annual rate </w:t>
            </w:r>
            <w:proofErr w:type="gramStart"/>
            <w:r w:rsidRPr="007F1D22">
              <w:rPr>
                <w:sz w:val="18"/>
                <w:szCs w:val="18"/>
              </w:rPr>
              <w:t>true-ups</w:t>
            </w:r>
            <w:proofErr w:type="gramEnd"/>
            <w:r w:rsidRPr="007F1D22">
              <w:rPr>
                <w:sz w:val="18"/>
                <w:szCs w:val="18"/>
              </w:rPr>
              <w:t xml:space="preserve"> capped at 4% each year. The Arkansas Commission staff found that the FRP incentivized spending and the outcome of a 4% increase each year (over the prior year). Staff further concluded that the unstated implication of the FRP was that the risk of an earnings review was effectively eliminated. With revenues guaranteed to be trued-up to the costs incurred, there was no clear incentive to contain costs between the annual 4% increases.</w:t>
            </w:r>
            <w:r w:rsidRPr="007F1D22">
              <w:rPr>
                <w:sz w:val="18"/>
                <w:szCs w:val="18"/>
                <w:vertAlign w:val="superscript"/>
              </w:rPr>
              <w:footnoteReference w:id="7"/>
            </w:r>
            <w:r w:rsidRPr="007F1D22">
              <w:rPr>
                <w:sz w:val="18"/>
                <w:szCs w:val="18"/>
              </w:rPr>
              <w:t xml:space="preserve"> The Maryland Public Service Commission also noted that problems with formula rate plans include a “tendency to shift financial </w:t>
            </w:r>
            <w:r w:rsidRPr="007F1D22">
              <w:rPr>
                <w:sz w:val="18"/>
                <w:szCs w:val="18"/>
              </w:rPr>
              <w:lastRenderedPageBreak/>
              <w:t>risks toward customers, a concern that automatic adjustments may curtail the thorough review of utility costs, and reduced incentives for utilities to control costs.”</w:t>
            </w:r>
            <w:r w:rsidRPr="007F1D22">
              <w:rPr>
                <w:sz w:val="18"/>
                <w:szCs w:val="18"/>
                <w:vertAlign w:val="superscript"/>
              </w:rPr>
              <w:footnoteReference w:id="8"/>
            </w:r>
            <w:r w:rsidRPr="007F1D22">
              <w:rPr>
                <w:sz w:val="18"/>
                <w:szCs w:val="18"/>
              </w:rPr>
              <w:t xml:space="preserve"> Allowing Virginia utilities to use riders for a growing number of cost categories has in practice the same logic as the Arkansas formula rate plan: annual true-ups of utility costs that guarantee profitability and offer little incentives for cost control. </w:t>
            </w:r>
            <w:r w:rsidRPr="007F1D22">
              <w:rPr>
                <w:sz w:val="18"/>
                <w:szCs w:val="18"/>
              </w:rPr>
              <w:br/>
            </w:r>
          </w:p>
          <w:p w14:paraId="1F31CD97" w14:textId="77777777" w:rsidR="003547D1" w:rsidRPr="007F1D22" w:rsidRDefault="00000000">
            <w:pPr>
              <w:pBdr>
                <w:top w:val="nil"/>
                <w:left w:val="nil"/>
                <w:bottom w:val="nil"/>
                <w:right w:val="nil"/>
                <w:between w:val="nil"/>
              </w:pBdr>
              <w:spacing w:line="276" w:lineRule="auto"/>
              <w:rPr>
                <w:sz w:val="18"/>
                <w:szCs w:val="18"/>
              </w:rPr>
            </w:pPr>
            <w:r w:rsidRPr="007F1D22">
              <w:rPr>
                <w:sz w:val="18"/>
                <w:szCs w:val="18"/>
              </w:rPr>
              <w:t xml:space="preserve">Under traditional base rates, utility shareholders and management face normal business risks, such as lower electricity sales or poor management; in contrast, RACs shift business risk to ratepayers. Because most RACs are trued-up every year, this instrument eliminates two factors that historically have worked as market-like cost-control mechanisms: 1) the regulatory lag, which is the </w:t>
            </w:r>
            <w:proofErr w:type="gramStart"/>
            <w:r w:rsidRPr="007F1D22">
              <w:rPr>
                <w:sz w:val="18"/>
                <w:szCs w:val="18"/>
              </w:rPr>
              <w:t>period of time</w:t>
            </w:r>
            <w:proofErr w:type="gramEnd"/>
            <w:r w:rsidRPr="007F1D22">
              <w:rPr>
                <w:sz w:val="18"/>
                <w:szCs w:val="18"/>
              </w:rPr>
              <w:t xml:space="preserve"> between incurring costs and rate increases that reflect those higher costs, and 2) the risk of profit under-recovery between rate cases. These two factors function similarly to the risk a </w:t>
            </w:r>
            <w:proofErr w:type="gramStart"/>
            <w:r w:rsidRPr="007F1D22">
              <w:rPr>
                <w:sz w:val="18"/>
                <w:szCs w:val="18"/>
              </w:rPr>
              <w:t>firm experiences</w:t>
            </w:r>
            <w:proofErr w:type="gramEnd"/>
            <w:r w:rsidRPr="007F1D22">
              <w:rPr>
                <w:sz w:val="18"/>
                <w:szCs w:val="18"/>
              </w:rPr>
              <w:t xml:space="preserve"> in competitive markets. The competitive firm must manage costs efficiently to ensure competitive prices. Otherwise, customers could move to another, more efficient firm with lower prices, which will in turn decrease sales and hurt the firm’s profits. In the case of regulated utility monopolies, a similar incentive exists when, if the firm is not managed efficiently and costs rise too quickly, the utility bears the risk of decreased profits between rate cases. With the yearly true-ups RACs provide, this risk resulting from inefficient management disappears for the regulated utility shareholders and is instead shifted to customers who </w:t>
            </w:r>
            <w:proofErr w:type="gramStart"/>
            <w:r w:rsidRPr="007F1D22">
              <w:rPr>
                <w:sz w:val="18"/>
                <w:szCs w:val="18"/>
              </w:rPr>
              <w:t>have to</w:t>
            </w:r>
            <w:proofErr w:type="gramEnd"/>
            <w:r w:rsidRPr="007F1D22">
              <w:rPr>
                <w:sz w:val="18"/>
                <w:szCs w:val="18"/>
              </w:rPr>
              <w:t xml:space="preserve"> guarantee utility profitability.</w:t>
            </w:r>
          </w:p>
          <w:p w14:paraId="54A8DA71" w14:textId="77777777" w:rsidR="003547D1" w:rsidRPr="007F1D22" w:rsidRDefault="003547D1">
            <w:pPr>
              <w:pBdr>
                <w:top w:val="nil"/>
                <w:left w:val="nil"/>
                <w:bottom w:val="nil"/>
                <w:right w:val="nil"/>
                <w:between w:val="nil"/>
              </w:pBdr>
              <w:spacing w:line="276" w:lineRule="auto"/>
              <w:rPr>
                <w:sz w:val="18"/>
                <w:szCs w:val="18"/>
              </w:rPr>
            </w:pPr>
          </w:p>
          <w:p w14:paraId="6CD110EB" w14:textId="77777777" w:rsidR="003547D1" w:rsidRPr="007F1D22" w:rsidRDefault="00000000">
            <w:pPr>
              <w:pBdr>
                <w:top w:val="nil"/>
                <w:left w:val="nil"/>
                <w:bottom w:val="nil"/>
                <w:right w:val="nil"/>
                <w:between w:val="nil"/>
              </w:pBdr>
              <w:spacing w:line="276" w:lineRule="auto"/>
              <w:rPr>
                <w:sz w:val="18"/>
                <w:szCs w:val="18"/>
              </w:rPr>
            </w:pPr>
            <w:r w:rsidRPr="007F1D22">
              <w:rPr>
                <w:sz w:val="18"/>
                <w:szCs w:val="18"/>
              </w:rPr>
              <w:t xml:space="preserve">Without market-like incentives to control costs, the only financial risk and incentive for prudent management comes from the State Corporation Commission's scrutiny of business decisions and its ability to disallow imprudent past expenses or deny approval of unnecessary future projects. Although this is a powerful tool, without market-like financial risk, it can be insufficient as a cost containment incentive. Historically, the Commission has </w:t>
            </w:r>
            <w:r w:rsidRPr="007F1D22">
              <w:rPr>
                <w:sz w:val="18"/>
                <w:szCs w:val="18"/>
              </w:rPr>
              <w:lastRenderedPageBreak/>
              <w:t xml:space="preserve">not disallowed substantial costs. Furthermore, on multiple occasions, utilities have influenced the legislative process to declare project costs previously rejected by the Commission as “reasonable and prudent.” The capacity to influence legislative outcomes further reduces the risk of cost disallowance, weakening cost containment incentives. </w:t>
            </w:r>
          </w:p>
          <w:p w14:paraId="2B82E87B" w14:textId="77777777" w:rsidR="003547D1" w:rsidRPr="007F1D22" w:rsidRDefault="003547D1">
            <w:pPr>
              <w:pBdr>
                <w:top w:val="nil"/>
                <w:left w:val="nil"/>
                <w:bottom w:val="nil"/>
                <w:right w:val="nil"/>
                <w:between w:val="nil"/>
              </w:pBdr>
              <w:spacing w:line="276" w:lineRule="auto"/>
              <w:rPr>
                <w:sz w:val="18"/>
                <w:szCs w:val="18"/>
              </w:rPr>
            </w:pPr>
          </w:p>
          <w:p w14:paraId="581D79BE" w14:textId="77777777" w:rsidR="003547D1" w:rsidRPr="007F1D22" w:rsidRDefault="00000000">
            <w:pPr>
              <w:keepLines/>
              <w:widowControl/>
              <w:spacing w:line="276" w:lineRule="auto"/>
              <w:rPr>
                <w:sz w:val="18"/>
                <w:szCs w:val="18"/>
              </w:rPr>
            </w:pPr>
            <w:r w:rsidRPr="007F1D22">
              <w:rPr>
                <w:sz w:val="18"/>
                <w:szCs w:val="18"/>
              </w:rPr>
              <w:t xml:space="preserve">Finally, because the RAC construct substantially reduces the risks associated with capital-intensive projects, RACs exacerbate the Averch-Johnson effect. This economic theory explains how regulated firms may overinvest in capital when a firm's allowed return on capital (set by regulators) is higher than its true cost of capital. The firm maximizes profits by overinvesting in capital-intensive assets rather than choosing the most efficient mix of other resources. This results in inefficiency, higher costs for consumers, and a potential misallocation of resources. </w:t>
            </w:r>
          </w:p>
          <w:p w14:paraId="7DD45DAA" w14:textId="77777777" w:rsidR="003547D1" w:rsidRPr="007F1D22" w:rsidRDefault="003547D1">
            <w:pPr>
              <w:keepLines/>
              <w:widowControl/>
              <w:rPr>
                <w:sz w:val="18"/>
                <w:szCs w:val="18"/>
              </w:rPr>
            </w:pPr>
          </w:p>
          <w:p w14:paraId="571A3552" w14:textId="77777777" w:rsidR="003547D1" w:rsidRPr="007F1D22" w:rsidRDefault="00000000">
            <w:pPr>
              <w:pBdr>
                <w:top w:val="nil"/>
                <w:left w:val="nil"/>
                <w:bottom w:val="nil"/>
                <w:right w:val="nil"/>
                <w:between w:val="nil"/>
              </w:pBdr>
              <w:spacing w:line="276" w:lineRule="auto"/>
              <w:rPr>
                <w:sz w:val="18"/>
                <w:szCs w:val="18"/>
              </w:rPr>
            </w:pPr>
            <w:r w:rsidRPr="007F1D22">
              <w:rPr>
                <w:sz w:val="18"/>
                <w:szCs w:val="18"/>
              </w:rPr>
              <w:t>This is why best practices have historically indicated that riders should be used only for limited costs outside of a utility’s management control, and why recent practice in other jurisdictions limits the use of riders to strategic programs that the utility compensation system does not traditionally incentivize, such as energy efficiency and demand response.</w:t>
            </w:r>
            <w:r w:rsidRPr="007F1D22">
              <w:rPr>
                <w:sz w:val="18"/>
                <w:szCs w:val="18"/>
              </w:rPr>
              <w:br/>
            </w:r>
          </w:p>
          <w:p w14:paraId="237C80A7" w14:textId="77777777" w:rsidR="003547D1" w:rsidRPr="007F1D22" w:rsidRDefault="00000000">
            <w:pPr>
              <w:pBdr>
                <w:top w:val="nil"/>
                <w:left w:val="nil"/>
                <w:bottom w:val="nil"/>
                <w:right w:val="nil"/>
                <w:between w:val="nil"/>
              </w:pBdr>
              <w:spacing w:line="276" w:lineRule="auto"/>
              <w:rPr>
                <w:sz w:val="18"/>
                <w:szCs w:val="18"/>
              </w:rPr>
            </w:pPr>
            <w:r w:rsidRPr="007F1D22">
              <w:rPr>
                <w:sz w:val="18"/>
                <w:szCs w:val="18"/>
              </w:rPr>
              <w:t xml:space="preserve">Two relevant advantages of RACs include that riders increase transparency, making it easier to track individual project costs, and the true-up mechanism ensures that customers are protected from any over-recovery of specific expenses. However, these two advantages could be incorporated into a more balanced rate-making design. These benefits do not outweigh the drawbacks of overreliance on riders as cost-recovery mechanisms. </w:t>
            </w:r>
          </w:p>
          <w:p w14:paraId="7A6055CA" w14:textId="77777777" w:rsidR="003547D1" w:rsidRPr="007F1D22" w:rsidRDefault="003547D1">
            <w:pPr>
              <w:pBdr>
                <w:top w:val="nil"/>
                <w:left w:val="nil"/>
                <w:bottom w:val="nil"/>
                <w:right w:val="nil"/>
                <w:between w:val="nil"/>
              </w:pBdr>
              <w:spacing w:line="276" w:lineRule="auto"/>
              <w:rPr>
                <w:sz w:val="18"/>
                <w:szCs w:val="18"/>
              </w:rPr>
            </w:pPr>
          </w:p>
          <w:p w14:paraId="5CC81F64" w14:textId="789A6133" w:rsidR="003547D1" w:rsidRPr="007F1D22" w:rsidRDefault="00000000">
            <w:pPr>
              <w:pBdr>
                <w:top w:val="nil"/>
                <w:left w:val="nil"/>
                <w:bottom w:val="nil"/>
                <w:right w:val="nil"/>
                <w:between w:val="nil"/>
              </w:pBdr>
              <w:spacing w:line="276" w:lineRule="auto"/>
              <w:rPr>
                <w:color w:val="000000"/>
                <w:sz w:val="18"/>
                <w:szCs w:val="18"/>
              </w:rPr>
            </w:pPr>
            <w:r w:rsidRPr="007F1D22">
              <w:rPr>
                <w:sz w:val="18"/>
                <w:szCs w:val="18"/>
              </w:rPr>
              <w:t xml:space="preserve">Recognizing the flawed incentives associated with riders' extensive usage is important to advance solutions that would protect ratepayers from inefficient utility operations. Any future regulatory design should limit riders' usage and frequent cost </w:t>
            </w:r>
            <w:proofErr w:type="gramStart"/>
            <w:r w:rsidRPr="007F1D22">
              <w:rPr>
                <w:sz w:val="18"/>
                <w:szCs w:val="18"/>
              </w:rPr>
              <w:t>true-ups</w:t>
            </w:r>
            <w:proofErr w:type="gramEnd"/>
            <w:r w:rsidRPr="007F1D22">
              <w:rPr>
                <w:sz w:val="18"/>
                <w:szCs w:val="18"/>
              </w:rPr>
              <w:t xml:space="preserve"> to a narrow range of strategic investments that the utility does not have an intrinsic </w:t>
            </w:r>
            <w:r w:rsidRPr="007F1D22">
              <w:rPr>
                <w:sz w:val="18"/>
                <w:szCs w:val="18"/>
              </w:rPr>
              <w:lastRenderedPageBreak/>
              <w:t>financial incentive to undertake. Energy efficiency and demand response are classic examples of resources that, although beneficial for customers and the system overall, have been neglected, since a decrease in sales can harm a utility’s profits. RAC treatment for these types of expenses could be part of an incentive package to increase their deployment.</w:t>
            </w:r>
            <w:r w:rsidR="0027433F">
              <w:rPr>
                <w:sz w:val="18"/>
                <w:szCs w:val="18"/>
              </w:rPr>
              <w:t xml:space="preserve"> </w:t>
            </w:r>
            <w:r w:rsidRPr="007F1D22">
              <w:rPr>
                <w:sz w:val="18"/>
                <w:szCs w:val="18"/>
              </w:rPr>
              <w:t xml:space="preserve"> </w:t>
            </w:r>
          </w:p>
        </w:tc>
      </w:tr>
      <w:tr w:rsidR="003547D1" w:rsidRPr="007F1D22" w14:paraId="6077893F" w14:textId="77777777">
        <w:trPr>
          <w:trHeight w:val="815"/>
        </w:trPr>
        <w:tc>
          <w:tcPr>
            <w:tcW w:w="1950" w:type="dxa"/>
            <w:vMerge/>
            <w:vAlign w:val="center"/>
          </w:tcPr>
          <w:p w14:paraId="50FCC103" w14:textId="77777777" w:rsidR="003547D1" w:rsidRPr="007F1D22" w:rsidRDefault="003547D1">
            <w:pPr>
              <w:pBdr>
                <w:top w:val="nil"/>
                <w:left w:val="nil"/>
                <w:bottom w:val="nil"/>
                <w:right w:val="nil"/>
                <w:between w:val="nil"/>
              </w:pBdr>
              <w:spacing w:line="276" w:lineRule="auto"/>
              <w:rPr>
                <w:color w:val="000000"/>
                <w:sz w:val="18"/>
                <w:szCs w:val="18"/>
              </w:rPr>
            </w:pPr>
          </w:p>
        </w:tc>
        <w:tc>
          <w:tcPr>
            <w:tcW w:w="1695" w:type="dxa"/>
          </w:tcPr>
          <w:p w14:paraId="0B8582F5" w14:textId="77777777" w:rsidR="003547D1" w:rsidRPr="007F1D22" w:rsidRDefault="00000000">
            <w:pPr>
              <w:keepLines/>
              <w:widowControl/>
              <w:pBdr>
                <w:top w:val="nil"/>
                <w:left w:val="nil"/>
                <w:bottom w:val="nil"/>
                <w:right w:val="nil"/>
                <w:between w:val="nil"/>
              </w:pBdr>
              <w:spacing w:line="207" w:lineRule="auto"/>
              <w:ind w:left="104"/>
              <w:rPr>
                <w:color w:val="000000"/>
                <w:sz w:val="18"/>
                <w:szCs w:val="18"/>
              </w:rPr>
            </w:pPr>
            <w:r w:rsidRPr="007F1D22">
              <w:rPr>
                <w:color w:val="000000"/>
                <w:sz w:val="18"/>
                <w:szCs w:val="18"/>
              </w:rPr>
              <w:t>Fuel Cost Recovery</w:t>
            </w:r>
          </w:p>
        </w:tc>
        <w:tc>
          <w:tcPr>
            <w:tcW w:w="1080" w:type="dxa"/>
            <w:gridSpan w:val="2"/>
          </w:tcPr>
          <w:p w14:paraId="1BFDB5F1" w14:textId="77777777" w:rsidR="003547D1" w:rsidRPr="007F1D22" w:rsidRDefault="00000000">
            <w:pPr>
              <w:keepLines/>
              <w:widowControl/>
              <w:pBdr>
                <w:top w:val="nil"/>
                <w:left w:val="nil"/>
                <w:bottom w:val="nil"/>
                <w:right w:val="nil"/>
                <w:between w:val="nil"/>
              </w:pBdr>
              <w:jc w:val="center"/>
              <w:rPr>
                <w:rFonts w:ascii="Times New Roman" w:eastAsia="Times New Roman" w:hAnsi="Times New Roman" w:cs="Times New Roman"/>
                <w:b/>
                <w:color w:val="000000"/>
                <w:sz w:val="18"/>
                <w:szCs w:val="18"/>
              </w:rPr>
            </w:pPr>
            <w:r w:rsidRPr="007F1D22">
              <w:rPr>
                <w:rFonts w:ascii="Times New Roman" w:eastAsia="Times New Roman" w:hAnsi="Times New Roman" w:cs="Times New Roman"/>
                <w:b/>
                <w:sz w:val="18"/>
                <w:szCs w:val="18"/>
              </w:rPr>
              <w:t>-</w:t>
            </w:r>
          </w:p>
        </w:tc>
        <w:tc>
          <w:tcPr>
            <w:tcW w:w="3840" w:type="dxa"/>
          </w:tcPr>
          <w:p w14:paraId="6F399638" w14:textId="77777777" w:rsidR="003547D1" w:rsidRPr="007F1D22" w:rsidRDefault="00000000">
            <w:pPr>
              <w:keepLines/>
              <w:widowControl/>
              <w:pBdr>
                <w:top w:val="nil"/>
                <w:left w:val="nil"/>
                <w:bottom w:val="nil"/>
                <w:right w:val="nil"/>
                <w:between w:val="nil"/>
              </w:pBdr>
              <w:spacing w:line="276" w:lineRule="auto"/>
              <w:rPr>
                <w:color w:val="000000"/>
                <w:sz w:val="18"/>
                <w:szCs w:val="18"/>
              </w:rPr>
            </w:pPr>
            <w:r w:rsidRPr="007F1D22">
              <w:rPr>
                <w:sz w:val="18"/>
                <w:szCs w:val="18"/>
              </w:rPr>
              <w:t>The current recovery of fuel costs allows for recovery on a dollar-for-dollar basis with no return available to the utility. Fuel cost recovery adjustments are common. These do not provide any cost containment incentives since costs are automatically trued-up and passed on to customers</w:t>
            </w:r>
          </w:p>
        </w:tc>
        <w:tc>
          <w:tcPr>
            <w:tcW w:w="4710" w:type="dxa"/>
          </w:tcPr>
          <w:p w14:paraId="0F44E0FA" w14:textId="77777777" w:rsidR="003547D1" w:rsidRPr="007F1D22" w:rsidRDefault="00000000">
            <w:pPr>
              <w:keepLines/>
              <w:widowControl/>
              <w:pBdr>
                <w:top w:val="nil"/>
                <w:left w:val="nil"/>
                <w:bottom w:val="nil"/>
                <w:right w:val="nil"/>
                <w:between w:val="nil"/>
              </w:pBdr>
              <w:spacing w:line="276" w:lineRule="auto"/>
              <w:rPr>
                <w:color w:val="000000"/>
                <w:sz w:val="18"/>
                <w:szCs w:val="18"/>
              </w:rPr>
            </w:pPr>
            <w:r w:rsidRPr="007F1D22">
              <w:rPr>
                <w:sz w:val="18"/>
                <w:szCs w:val="18"/>
              </w:rPr>
              <w:t xml:space="preserve"> </w:t>
            </w:r>
          </w:p>
        </w:tc>
      </w:tr>
      <w:tr w:rsidR="003547D1" w:rsidRPr="007F1D22" w14:paraId="6639A760" w14:textId="77777777">
        <w:trPr>
          <w:trHeight w:val="401"/>
        </w:trPr>
        <w:tc>
          <w:tcPr>
            <w:tcW w:w="1950" w:type="dxa"/>
            <w:vMerge/>
            <w:vAlign w:val="center"/>
          </w:tcPr>
          <w:p w14:paraId="64D91917" w14:textId="77777777" w:rsidR="003547D1" w:rsidRPr="007F1D22" w:rsidRDefault="003547D1">
            <w:pPr>
              <w:pBdr>
                <w:top w:val="nil"/>
                <w:left w:val="nil"/>
                <w:bottom w:val="nil"/>
                <w:right w:val="nil"/>
                <w:between w:val="nil"/>
              </w:pBdr>
              <w:spacing w:line="276" w:lineRule="auto"/>
              <w:rPr>
                <w:color w:val="000000"/>
                <w:sz w:val="18"/>
                <w:szCs w:val="18"/>
              </w:rPr>
            </w:pPr>
          </w:p>
        </w:tc>
        <w:tc>
          <w:tcPr>
            <w:tcW w:w="1695" w:type="dxa"/>
          </w:tcPr>
          <w:p w14:paraId="77A47413" w14:textId="77777777" w:rsidR="003547D1" w:rsidRPr="007F1D22" w:rsidRDefault="00000000">
            <w:pPr>
              <w:keepLines/>
              <w:widowControl/>
              <w:pBdr>
                <w:top w:val="nil"/>
                <w:left w:val="nil"/>
                <w:bottom w:val="nil"/>
                <w:right w:val="nil"/>
                <w:between w:val="nil"/>
              </w:pBdr>
              <w:spacing w:line="207" w:lineRule="auto"/>
              <w:ind w:left="104"/>
              <w:rPr>
                <w:color w:val="000000"/>
                <w:sz w:val="18"/>
                <w:szCs w:val="18"/>
              </w:rPr>
            </w:pPr>
            <w:r w:rsidRPr="007F1D22">
              <w:rPr>
                <w:color w:val="000000"/>
                <w:sz w:val="18"/>
                <w:szCs w:val="18"/>
              </w:rPr>
              <w:t>Purchased power</w:t>
            </w:r>
          </w:p>
        </w:tc>
        <w:tc>
          <w:tcPr>
            <w:tcW w:w="1080" w:type="dxa"/>
            <w:gridSpan w:val="2"/>
          </w:tcPr>
          <w:p w14:paraId="7B05EC3E" w14:textId="77777777" w:rsidR="003547D1" w:rsidRPr="007F1D22" w:rsidRDefault="00000000">
            <w:pPr>
              <w:keepLines/>
              <w:widowControl/>
              <w:pBdr>
                <w:top w:val="nil"/>
                <w:left w:val="nil"/>
                <w:bottom w:val="nil"/>
                <w:right w:val="nil"/>
                <w:between w:val="nil"/>
              </w:pBdr>
              <w:jc w:val="center"/>
              <w:rPr>
                <w:rFonts w:ascii="Times New Roman" w:eastAsia="Times New Roman" w:hAnsi="Times New Roman" w:cs="Times New Roman"/>
                <w:b/>
                <w:color w:val="000000"/>
                <w:sz w:val="18"/>
                <w:szCs w:val="18"/>
              </w:rPr>
            </w:pPr>
            <w:r w:rsidRPr="007F1D22">
              <w:rPr>
                <w:rFonts w:ascii="Times New Roman" w:eastAsia="Times New Roman" w:hAnsi="Times New Roman" w:cs="Times New Roman"/>
                <w:b/>
                <w:color w:val="000000"/>
                <w:sz w:val="18"/>
                <w:szCs w:val="18"/>
              </w:rPr>
              <w:t>0</w:t>
            </w:r>
          </w:p>
        </w:tc>
        <w:tc>
          <w:tcPr>
            <w:tcW w:w="3840" w:type="dxa"/>
          </w:tcPr>
          <w:p w14:paraId="2D450395" w14:textId="77777777" w:rsidR="003547D1" w:rsidRPr="007F1D22" w:rsidRDefault="00000000">
            <w:pPr>
              <w:keepLines/>
              <w:widowControl/>
              <w:spacing w:line="276" w:lineRule="auto"/>
              <w:rPr>
                <w:color w:val="000000"/>
                <w:sz w:val="18"/>
                <w:szCs w:val="18"/>
              </w:rPr>
            </w:pPr>
            <w:r w:rsidRPr="007F1D22">
              <w:rPr>
                <w:color w:val="000000"/>
                <w:sz w:val="18"/>
                <w:szCs w:val="18"/>
              </w:rPr>
              <w:t xml:space="preserve">Does not </w:t>
            </w:r>
            <w:r w:rsidRPr="007F1D22">
              <w:rPr>
                <w:sz w:val="18"/>
                <w:szCs w:val="18"/>
              </w:rPr>
              <w:t>have a clear</w:t>
            </w:r>
            <w:r w:rsidRPr="007F1D22">
              <w:rPr>
                <w:color w:val="000000"/>
                <w:sz w:val="18"/>
                <w:szCs w:val="18"/>
              </w:rPr>
              <w:t xml:space="preserve"> impact on the outcome. </w:t>
            </w:r>
          </w:p>
        </w:tc>
        <w:tc>
          <w:tcPr>
            <w:tcW w:w="4710" w:type="dxa"/>
          </w:tcPr>
          <w:p w14:paraId="4BA724C0" w14:textId="77777777" w:rsidR="003547D1" w:rsidRPr="007F1D22" w:rsidRDefault="003547D1">
            <w:pPr>
              <w:keepLines/>
              <w:widowControl/>
              <w:pBdr>
                <w:top w:val="nil"/>
                <w:left w:val="nil"/>
                <w:bottom w:val="nil"/>
                <w:right w:val="nil"/>
                <w:between w:val="nil"/>
              </w:pBdr>
              <w:spacing w:line="276" w:lineRule="auto"/>
              <w:rPr>
                <w:color w:val="000000"/>
                <w:sz w:val="18"/>
                <w:szCs w:val="18"/>
              </w:rPr>
            </w:pPr>
          </w:p>
        </w:tc>
      </w:tr>
      <w:tr w:rsidR="003547D1" w:rsidRPr="007F1D22" w14:paraId="3AE352B5" w14:textId="77777777">
        <w:trPr>
          <w:trHeight w:val="446"/>
        </w:trPr>
        <w:tc>
          <w:tcPr>
            <w:tcW w:w="1950" w:type="dxa"/>
            <w:vMerge/>
            <w:vAlign w:val="center"/>
          </w:tcPr>
          <w:p w14:paraId="4CD6EE9B" w14:textId="77777777" w:rsidR="003547D1" w:rsidRPr="007F1D22" w:rsidRDefault="003547D1">
            <w:pPr>
              <w:pBdr>
                <w:top w:val="nil"/>
                <w:left w:val="nil"/>
                <w:bottom w:val="nil"/>
                <w:right w:val="nil"/>
                <w:between w:val="nil"/>
              </w:pBdr>
              <w:spacing w:line="276" w:lineRule="auto"/>
              <w:rPr>
                <w:color w:val="000000"/>
                <w:sz w:val="18"/>
                <w:szCs w:val="18"/>
              </w:rPr>
            </w:pPr>
          </w:p>
        </w:tc>
        <w:tc>
          <w:tcPr>
            <w:tcW w:w="1695" w:type="dxa"/>
          </w:tcPr>
          <w:p w14:paraId="6C8C9D40" w14:textId="77777777" w:rsidR="003547D1" w:rsidRPr="007F1D22" w:rsidRDefault="00000000">
            <w:pPr>
              <w:keepLines/>
              <w:widowControl/>
              <w:pBdr>
                <w:top w:val="nil"/>
                <w:left w:val="nil"/>
                <w:bottom w:val="nil"/>
                <w:right w:val="nil"/>
                <w:between w:val="nil"/>
              </w:pBdr>
              <w:spacing w:line="207" w:lineRule="auto"/>
              <w:ind w:left="104"/>
              <w:rPr>
                <w:color w:val="000000"/>
                <w:sz w:val="18"/>
                <w:szCs w:val="18"/>
              </w:rPr>
            </w:pPr>
            <w:r w:rsidRPr="007F1D22">
              <w:rPr>
                <w:color w:val="000000"/>
                <w:sz w:val="18"/>
                <w:szCs w:val="18"/>
              </w:rPr>
              <w:t>Demand response program costs</w:t>
            </w:r>
          </w:p>
        </w:tc>
        <w:tc>
          <w:tcPr>
            <w:tcW w:w="1080" w:type="dxa"/>
            <w:gridSpan w:val="2"/>
          </w:tcPr>
          <w:p w14:paraId="6979A47F" w14:textId="2961BC1F" w:rsidR="003547D1" w:rsidRPr="007F1D22" w:rsidRDefault="0027433F">
            <w:pPr>
              <w:keepLines/>
              <w:widowControl/>
              <w:pBdr>
                <w:top w:val="nil"/>
                <w:left w:val="nil"/>
                <w:bottom w:val="nil"/>
                <w:right w:val="nil"/>
                <w:between w:val="nil"/>
              </w:pBdr>
              <w:jc w:val="center"/>
              <w:rPr>
                <w:rFonts w:ascii="Times New Roman" w:eastAsia="Times New Roman" w:hAnsi="Times New Roman" w:cs="Times New Roman"/>
                <w:b/>
                <w:color w:val="000000"/>
                <w:sz w:val="18"/>
                <w:szCs w:val="18"/>
              </w:rPr>
            </w:pPr>
            <w:r w:rsidRPr="007F1D22">
              <w:rPr>
                <w:rFonts w:ascii="Times New Roman" w:eastAsia="Times New Roman" w:hAnsi="Times New Roman" w:cs="Times New Roman"/>
                <w:b/>
                <w:color w:val="000000"/>
                <w:sz w:val="18"/>
                <w:szCs w:val="18"/>
              </w:rPr>
              <w:t>0</w:t>
            </w:r>
          </w:p>
        </w:tc>
        <w:tc>
          <w:tcPr>
            <w:tcW w:w="3840" w:type="dxa"/>
          </w:tcPr>
          <w:p w14:paraId="7AA88CE7" w14:textId="77777777" w:rsidR="003547D1" w:rsidRPr="007F1D22" w:rsidRDefault="003547D1">
            <w:pPr>
              <w:keepLines/>
              <w:widowControl/>
              <w:pBdr>
                <w:top w:val="nil"/>
                <w:left w:val="nil"/>
                <w:bottom w:val="nil"/>
                <w:right w:val="nil"/>
                <w:between w:val="nil"/>
              </w:pBdr>
              <w:spacing w:line="276" w:lineRule="auto"/>
              <w:rPr>
                <w:color w:val="000000"/>
                <w:sz w:val="18"/>
                <w:szCs w:val="18"/>
              </w:rPr>
            </w:pPr>
          </w:p>
        </w:tc>
        <w:tc>
          <w:tcPr>
            <w:tcW w:w="4710" w:type="dxa"/>
          </w:tcPr>
          <w:p w14:paraId="2F3261EB" w14:textId="77777777" w:rsidR="003547D1" w:rsidRPr="007F1D22" w:rsidRDefault="003547D1">
            <w:pPr>
              <w:keepLines/>
              <w:widowControl/>
              <w:pBdr>
                <w:top w:val="nil"/>
                <w:left w:val="nil"/>
                <w:bottom w:val="nil"/>
                <w:right w:val="nil"/>
                <w:between w:val="nil"/>
              </w:pBdr>
              <w:spacing w:line="276" w:lineRule="auto"/>
              <w:rPr>
                <w:color w:val="000000"/>
                <w:sz w:val="18"/>
                <w:szCs w:val="18"/>
              </w:rPr>
            </w:pPr>
          </w:p>
        </w:tc>
      </w:tr>
      <w:tr w:rsidR="003547D1" w:rsidRPr="007F1D22" w14:paraId="1E7C94CA" w14:textId="77777777">
        <w:trPr>
          <w:trHeight w:val="500"/>
        </w:trPr>
        <w:tc>
          <w:tcPr>
            <w:tcW w:w="1950" w:type="dxa"/>
            <w:vMerge/>
            <w:vAlign w:val="center"/>
          </w:tcPr>
          <w:p w14:paraId="3DE8B788" w14:textId="77777777" w:rsidR="003547D1" w:rsidRPr="007F1D22" w:rsidRDefault="003547D1">
            <w:pPr>
              <w:pBdr>
                <w:top w:val="nil"/>
                <w:left w:val="nil"/>
                <w:bottom w:val="nil"/>
                <w:right w:val="nil"/>
                <w:between w:val="nil"/>
              </w:pBdr>
              <w:spacing w:line="276" w:lineRule="auto"/>
              <w:rPr>
                <w:color w:val="000000"/>
                <w:sz w:val="18"/>
                <w:szCs w:val="18"/>
              </w:rPr>
            </w:pPr>
          </w:p>
        </w:tc>
        <w:tc>
          <w:tcPr>
            <w:tcW w:w="1695" w:type="dxa"/>
          </w:tcPr>
          <w:p w14:paraId="23D5A4B7" w14:textId="77777777" w:rsidR="003547D1" w:rsidRPr="007F1D22" w:rsidRDefault="00000000">
            <w:pPr>
              <w:keepLines/>
              <w:widowControl/>
              <w:pBdr>
                <w:top w:val="nil"/>
                <w:left w:val="nil"/>
                <w:bottom w:val="nil"/>
                <w:right w:val="nil"/>
                <w:between w:val="nil"/>
              </w:pBdr>
              <w:spacing w:line="207" w:lineRule="auto"/>
              <w:ind w:left="104"/>
              <w:jc w:val="center"/>
              <w:rPr>
                <w:color w:val="000000"/>
                <w:sz w:val="18"/>
                <w:szCs w:val="18"/>
              </w:rPr>
            </w:pPr>
            <w:r w:rsidRPr="007F1D22">
              <w:rPr>
                <w:color w:val="000000"/>
                <w:sz w:val="18"/>
                <w:szCs w:val="18"/>
              </w:rPr>
              <w:t>RPS compliance costs</w:t>
            </w:r>
          </w:p>
        </w:tc>
        <w:tc>
          <w:tcPr>
            <w:tcW w:w="1080" w:type="dxa"/>
            <w:gridSpan w:val="2"/>
          </w:tcPr>
          <w:p w14:paraId="561CBED2" w14:textId="257AB3E0" w:rsidR="003547D1" w:rsidRPr="007F1D22" w:rsidRDefault="0027433F">
            <w:pPr>
              <w:keepLines/>
              <w:widowControl/>
              <w:pBdr>
                <w:top w:val="nil"/>
                <w:left w:val="nil"/>
                <w:bottom w:val="nil"/>
                <w:right w:val="nil"/>
                <w:between w:val="nil"/>
              </w:pBdr>
              <w:jc w:val="center"/>
              <w:rPr>
                <w:rFonts w:ascii="Times New Roman" w:eastAsia="Times New Roman" w:hAnsi="Times New Roman" w:cs="Times New Roman"/>
                <w:b/>
                <w:color w:val="000000"/>
                <w:sz w:val="18"/>
                <w:szCs w:val="18"/>
              </w:rPr>
            </w:pPr>
            <w:r w:rsidRPr="007F1D22">
              <w:rPr>
                <w:rFonts w:ascii="Times New Roman" w:eastAsia="Times New Roman" w:hAnsi="Times New Roman" w:cs="Times New Roman"/>
                <w:b/>
                <w:color w:val="000000"/>
                <w:sz w:val="18"/>
                <w:szCs w:val="18"/>
              </w:rPr>
              <w:t>0</w:t>
            </w:r>
          </w:p>
        </w:tc>
        <w:tc>
          <w:tcPr>
            <w:tcW w:w="3840" w:type="dxa"/>
          </w:tcPr>
          <w:p w14:paraId="27D15CED" w14:textId="77777777" w:rsidR="003547D1" w:rsidRPr="007F1D22" w:rsidRDefault="003547D1">
            <w:pPr>
              <w:keepLines/>
              <w:widowControl/>
              <w:pBdr>
                <w:top w:val="nil"/>
                <w:left w:val="nil"/>
                <w:bottom w:val="nil"/>
                <w:right w:val="nil"/>
                <w:between w:val="nil"/>
              </w:pBdr>
              <w:spacing w:line="276" w:lineRule="auto"/>
              <w:rPr>
                <w:color w:val="000000"/>
                <w:sz w:val="18"/>
                <w:szCs w:val="18"/>
              </w:rPr>
            </w:pPr>
          </w:p>
        </w:tc>
        <w:tc>
          <w:tcPr>
            <w:tcW w:w="4710" w:type="dxa"/>
          </w:tcPr>
          <w:p w14:paraId="25E6B363" w14:textId="77777777" w:rsidR="003547D1" w:rsidRPr="007F1D22" w:rsidRDefault="003547D1">
            <w:pPr>
              <w:keepLines/>
              <w:widowControl/>
              <w:pBdr>
                <w:top w:val="nil"/>
                <w:left w:val="nil"/>
                <w:bottom w:val="nil"/>
                <w:right w:val="nil"/>
                <w:between w:val="nil"/>
              </w:pBdr>
              <w:spacing w:line="276" w:lineRule="auto"/>
              <w:rPr>
                <w:sz w:val="18"/>
                <w:szCs w:val="18"/>
              </w:rPr>
            </w:pPr>
          </w:p>
        </w:tc>
      </w:tr>
      <w:tr w:rsidR="003547D1" w:rsidRPr="007F1D22" w14:paraId="54C17C3D" w14:textId="77777777">
        <w:trPr>
          <w:trHeight w:val="600"/>
        </w:trPr>
        <w:tc>
          <w:tcPr>
            <w:tcW w:w="1950" w:type="dxa"/>
            <w:vMerge/>
            <w:vAlign w:val="center"/>
          </w:tcPr>
          <w:p w14:paraId="2C64C939" w14:textId="77777777" w:rsidR="003547D1" w:rsidRPr="007F1D22" w:rsidRDefault="003547D1">
            <w:pPr>
              <w:pBdr>
                <w:top w:val="nil"/>
                <w:left w:val="nil"/>
                <w:bottom w:val="nil"/>
                <w:right w:val="nil"/>
                <w:between w:val="nil"/>
              </w:pBdr>
              <w:spacing w:line="276" w:lineRule="auto"/>
              <w:rPr>
                <w:sz w:val="18"/>
                <w:szCs w:val="18"/>
              </w:rPr>
            </w:pPr>
          </w:p>
        </w:tc>
        <w:tc>
          <w:tcPr>
            <w:tcW w:w="1695" w:type="dxa"/>
          </w:tcPr>
          <w:p w14:paraId="31886042" w14:textId="77777777" w:rsidR="003547D1" w:rsidRPr="007F1D22" w:rsidRDefault="00000000">
            <w:pPr>
              <w:keepLines/>
              <w:widowControl/>
              <w:pBdr>
                <w:top w:val="nil"/>
                <w:left w:val="nil"/>
                <w:bottom w:val="nil"/>
                <w:right w:val="nil"/>
                <w:between w:val="nil"/>
              </w:pBdr>
              <w:spacing w:line="207" w:lineRule="auto"/>
              <w:ind w:left="104"/>
              <w:rPr>
                <w:color w:val="000000"/>
                <w:sz w:val="18"/>
                <w:szCs w:val="18"/>
              </w:rPr>
            </w:pPr>
            <w:r w:rsidRPr="007F1D22">
              <w:rPr>
                <w:color w:val="000000"/>
                <w:sz w:val="18"/>
                <w:szCs w:val="18"/>
              </w:rPr>
              <w:t>Broadband capacity extension</w:t>
            </w:r>
          </w:p>
        </w:tc>
        <w:tc>
          <w:tcPr>
            <w:tcW w:w="1080" w:type="dxa"/>
            <w:gridSpan w:val="2"/>
          </w:tcPr>
          <w:p w14:paraId="57E18191" w14:textId="77777777" w:rsidR="003547D1" w:rsidRPr="007F1D22" w:rsidRDefault="003547D1">
            <w:pPr>
              <w:keepLines/>
              <w:widowControl/>
              <w:pBdr>
                <w:top w:val="nil"/>
                <w:left w:val="nil"/>
                <w:bottom w:val="nil"/>
                <w:right w:val="nil"/>
                <w:between w:val="nil"/>
              </w:pBdr>
              <w:rPr>
                <w:rFonts w:ascii="Times New Roman" w:eastAsia="Times New Roman" w:hAnsi="Times New Roman" w:cs="Times New Roman"/>
                <w:b/>
                <w:color w:val="000000"/>
                <w:sz w:val="18"/>
                <w:szCs w:val="18"/>
              </w:rPr>
            </w:pPr>
          </w:p>
        </w:tc>
        <w:tc>
          <w:tcPr>
            <w:tcW w:w="3840" w:type="dxa"/>
          </w:tcPr>
          <w:p w14:paraId="01347D5C" w14:textId="77777777" w:rsidR="003547D1" w:rsidRPr="007F1D22" w:rsidRDefault="003547D1">
            <w:pPr>
              <w:keepLines/>
              <w:widowControl/>
              <w:pBdr>
                <w:top w:val="nil"/>
                <w:left w:val="nil"/>
                <w:bottom w:val="nil"/>
                <w:right w:val="nil"/>
                <w:between w:val="nil"/>
              </w:pBdr>
              <w:spacing w:line="276" w:lineRule="auto"/>
              <w:rPr>
                <w:color w:val="000000"/>
                <w:sz w:val="18"/>
                <w:szCs w:val="18"/>
              </w:rPr>
            </w:pPr>
          </w:p>
        </w:tc>
        <w:tc>
          <w:tcPr>
            <w:tcW w:w="4710" w:type="dxa"/>
          </w:tcPr>
          <w:p w14:paraId="55B9D231" w14:textId="77777777" w:rsidR="003547D1" w:rsidRPr="007F1D22" w:rsidRDefault="003547D1">
            <w:pPr>
              <w:keepLines/>
              <w:widowControl/>
              <w:pBdr>
                <w:top w:val="nil"/>
                <w:left w:val="nil"/>
                <w:bottom w:val="nil"/>
                <w:right w:val="nil"/>
                <w:between w:val="nil"/>
              </w:pBdr>
              <w:spacing w:line="276" w:lineRule="auto"/>
              <w:rPr>
                <w:color w:val="000000"/>
                <w:sz w:val="18"/>
                <w:szCs w:val="18"/>
              </w:rPr>
            </w:pPr>
          </w:p>
        </w:tc>
      </w:tr>
      <w:tr w:rsidR="003547D1" w:rsidRPr="007F1D22" w14:paraId="31255942" w14:textId="77777777">
        <w:trPr>
          <w:trHeight w:val="785"/>
        </w:trPr>
        <w:tc>
          <w:tcPr>
            <w:tcW w:w="1950" w:type="dxa"/>
            <w:vMerge/>
            <w:vAlign w:val="center"/>
          </w:tcPr>
          <w:p w14:paraId="1DC81EAF" w14:textId="77777777" w:rsidR="003547D1" w:rsidRPr="007F1D22" w:rsidRDefault="003547D1">
            <w:pPr>
              <w:pBdr>
                <w:top w:val="nil"/>
                <w:left w:val="nil"/>
                <w:bottom w:val="nil"/>
                <w:right w:val="nil"/>
                <w:between w:val="nil"/>
              </w:pBdr>
              <w:spacing w:line="276" w:lineRule="auto"/>
              <w:rPr>
                <w:color w:val="000000"/>
                <w:sz w:val="18"/>
                <w:szCs w:val="18"/>
              </w:rPr>
            </w:pPr>
          </w:p>
        </w:tc>
        <w:tc>
          <w:tcPr>
            <w:tcW w:w="1695" w:type="dxa"/>
          </w:tcPr>
          <w:p w14:paraId="214DCFFB" w14:textId="77777777" w:rsidR="003547D1" w:rsidRPr="007F1D22" w:rsidRDefault="00000000">
            <w:pPr>
              <w:keepLines/>
              <w:widowControl/>
              <w:pBdr>
                <w:top w:val="nil"/>
                <w:left w:val="nil"/>
                <w:bottom w:val="nil"/>
                <w:right w:val="nil"/>
                <w:between w:val="nil"/>
              </w:pBdr>
              <w:spacing w:line="207" w:lineRule="auto"/>
              <w:ind w:left="104"/>
              <w:jc w:val="center"/>
              <w:rPr>
                <w:color w:val="000000"/>
                <w:sz w:val="18"/>
                <w:szCs w:val="18"/>
              </w:rPr>
            </w:pPr>
            <w:r w:rsidRPr="007F1D22">
              <w:rPr>
                <w:color w:val="000000"/>
                <w:sz w:val="18"/>
                <w:szCs w:val="18"/>
              </w:rPr>
              <w:t>Low-income programs (lost revenue recovery)</w:t>
            </w:r>
          </w:p>
        </w:tc>
        <w:tc>
          <w:tcPr>
            <w:tcW w:w="1080" w:type="dxa"/>
            <w:gridSpan w:val="2"/>
          </w:tcPr>
          <w:p w14:paraId="413090B2" w14:textId="6F535E35" w:rsidR="003547D1" w:rsidRPr="007F1D22" w:rsidRDefault="0027433F">
            <w:pPr>
              <w:keepLines/>
              <w:widowControl/>
              <w:pBdr>
                <w:top w:val="nil"/>
                <w:left w:val="nil"/>
                <w:bottom w:val="nil"/>
                <w:right w:val="nil"/>
                <w:between w:val="nil"/>
              </w:pBdr>
              <w:jc w:val="center"/>
              <w:rPr>
                <w:rFonts w:ascii="Times New Roman" w:eastAsia="Times New Roman" w:hAnsi="Times New Roman" w:cs="Times New Roman"/>
                <w:b/>
                <w:color w:val="000000"/>
                <w:sz w:val="18"/>
                <w:szCs w:val="18"/>
              </w:rPr>
            </w:pPr>
            <w:r w:rsidRPr="007F1D22">
              <w:rPr>
                <w:rFonts w:ascii="Times New Roman" w:eastAsia="Times New Roman" w:hAnsi="Times New Roman" w:cs="Times New Roman"/>
                <w:b/>
                <w:color w:val="000000"/>
                <w:sz w:val="18"/>
                <w:szCs w:val="18"/>
              </w:rPr>
              <w:t>0</w:t>
            </w:r>
          </w:p>
        </w:tc>
        <w:tc>
          <w:tcPr>
            <w:tcW w:w="3840" w:type="dxa"/>
          </w:tcPr>
          <w:p w14:paraId="7F2BE58F" w14:textId="77777777" w:rsidR="003547D1" w:rsidRPr="007F1D22" w:rsidRDefault="003547D1">
            <w:pPr>
              <w:keepLines/>
              <w:widowControl/>
              <w:pBdr>
                <w:top w:val="nil"/>
                <w:left w:val="nil"/>
                <w:bottom w:val="nil"/>
                <w:right w:val="nil"/>
                <w:between w:val="nil"/>
              </w:pBdr>
              <w:spacing w:line="276" w:lineRule="auto"/>
              <w:rPr>
                <w:color w:val="000000"/>
                <w:sz w:val="18"/>
                <w:szCs w:val="18"/>
              </w:rPr>
            </w:pPr>
          </w:p>
        </w:tc>
        <w:tc>
          <w:tcPr>
            <w:tcW w:w="4710" w:type="dxa"/>
          </w:tcPr>
          <w:p w14:paraId="5212AA8A" w14:textId="77777777" w:rsidR="003547D1" w:rsidRPr="007F1D22" w:rsidRDefault="00000000">
            <w:pPr>
              <w:keepLines/>
              <w:widowControl/>
              <w:pBdr>
                <w:top w:val="nil"/>
                <w:left w:val="nil"/>
                <w:bottom w:val="nil"/>
                <w:right w:val="nil"/>
                <w:between w:val="nil"/>
              </w:pBdr>
              <w:spacing w:line="276" w:lineRule="auto"/>
              <w:rPr>
                <w:color w:val="000000"/>
                <w:sz w:val="18"/>
                <w:szCs w:val="18"/>
              </w:rPr>
            </w:pPr>
            <w:r w:rsidRPr="007F1D22">
              <w:rPr>
                <w:sz w:val="18"/>
                <w:szCs w:val="18"/>
              </w:rPr>
              <w:t xml:space="preserve"> </w:t>
            </w:r>
          </w:p>
        </w:tc>
      </w:tr>
      <w:tr w:rsidR="003547D1" w:rsidRPr="007F1D22" w14:paraId="0BA1383D" w14:textId="77777777">
        <w:tc>
          <w:tcPr>
            <w:tcW w:w="1950" w:type="dxa"/>
            <w:vMerge/>
            <w:vAlign w:val="center"/>
          </w:tcPr>
          <w:p w14:paraId="00DE0CC0" w14:textId="77777777" w:rsidR="003547D1" w:rsidRPr="007F1D22" w:rsidRDefault="003547D1">
            <w:pPr>
              <w:pBdr>
                <w:top w:val="nil"/>
                <w:left w:val="nil"/>
                <w:bottom w:val="nil"/>
                <w:right w:val="nil"/>
                <w:between w:val="nil"/>
              </w:pBdr>
              <w:spacing w:line="276" w:lineRule="auto"/>
              <w:rPr>
                <w:color w:val="000000"/>
                <w:sz w:val="18"/>
                <w:szCs w:val="18"/>
              </w:rPr>
            </w:pPr>
          </w:p>
        </w:tc>
        <w:tc>
          <w:tcPr>
            <w:tcW w:w="1695" w:type="dxa"/>
          </w:tcPr>
          <w:p w14:paraId="619BD812" w14:textId="77777777" w:rsidR="003547D1" w:rsidRPr="007F1D22" w:rsidRDefault="00000000">
            <w:pPr>
              <w:keepLines/>
              <w:widowControl/>
              <w:pBdr>
                <w:top w:val="nil"/>
                <w:left w:val="nil"/>
                <w:bottom w:val="nil"/>
                <w:right w:val="nil"/>
                <w:between w:val="nil"/>
              </w:pBdr>
              <w:spacing w:line="207" w:lineRule="auto"/>
              <w:ind w:left="104"/>
              <w:rPr>
                <w:color w:val="000000"/>
                <w:sz w:val="18"/>
                <w:szCs w:val="18"/>
              </w:rPr>
            </w:pPr>
            <w:r w:rsidRPr="007F1D22">
              <w:rPr>
                <w:color w:val="000000"/>
                <w:sz w:val="18"/>
                <w:szCs w:val="18"/>
              </w:rPr>
              <w:t>Capital projects (e.g., combined cycle gas projects, offshore wind, solar, distribution system undergrounding, distribution grid transformation, nuclear life extension, etc.)</w:t>
            </w:r>
          </w:p>
        </w:tc>
        <w:tc>
          <w:tcPr>
            <w:tcW w:w="1080" w:type="dxa"/>
            <w:gridSpan w:val="2"/>
          </w:tcPr>
          <w:p w14:paraId="32BD1ED4" w14:textId="1527FF84" w:rsidR="003547D1" w:rsidRPr="007F1D22" w:rsidRDefault="002F73E5" w:rsidP="002F73E5">
            <w:pPr>
              <w:keepLines/>
              <w:widowControl/>
              <w:pBdr>
                <w:top w:val="nil"/>
                <w:left w:val="nil"/>
                <w:bottom w:val="nil"/>
                <w:right w:val="nil"/>
                <w:between w:val="nil"/>
              </w:pBd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           </w:t>
            </w:r>
            <w:r w:rsidRPr="007F1D22">
              <w:rPr>
                <w:rFonts w:ascii="Times New Roman" w:eastAsia="Times New Roman" w:hAnsi="Times New Roman" w:cs="Times New Roman"/>
                <w:b/>
                <w:sz w:val="18"/>
                <w:szCs w:val="18"/>
              </w:rPr>
              <w:t>-</w:t>
            </w:r>
          </w:p>
        </w:tc>
        <w:tc>
          <w:tcPr>
            <w:tcW w:w="3840" w:type="dxa"/>
          </w:tcPr>
          <w:p w14:paraId="1C548CBA" w14:textId="77777777" w:rsidR="003547D1" w:rsidRPr="007F1D22" w:rsidRDefault="00000000">
            <w:pPr>
              <w:keepLines/>
              <w:widowControl/>
              <w:pBdr>
                <w:top w:val="nil"/>
                <w:left w:val="nil"/>
                <w:bottom w:val="nil"/>
                <w:right w:val="nil"/>
                <w:between w:val="nil"/>
              </w:pBdr>
              <w:spacing w:line="276" w:lineRule="auto"/>
              <w:rPr>
                <w:color w:val="000000"/>
                <w:sz w:val="18"/>
                <w:szCs w:val="18"/>
              </w:rPr>
            </w:pPr>
            <w:r w:rsidRPr="007F1D22">
              <w:rPr>
                <w:sz w:val="18"/>
                <w:szCs w:val="18"/>
              </w:rPr>
              <w:t>(Same as RACs above)</w:t>
            </w:r>
            <w:r w:rsidRPr="007F1D22">
              <w:rPr>
                <w:sz w:val="18"/>
                <w:szCs w:val="18"/>
              </w:rPr>
              <w:br/>
              <w:t xml:space="preserve">Using riders for a multitude of capital projects is not as common in other jurisdictions as in Virginia. </w:t>
            </w:r>
          </w:p>
        </w:tc>
        <w:tc>
          <w:tcPr>
            <w:tcW w:w="4710" w:type="dxa"/>
          </w:tcPr>
          <w:p w14:paraId="72A769A6" w14:textId="77777777" w:rsidR="003547D1" w:rsidRPr="007F1D22" w:rsidRDefault="00000000">
            <w:pPr>
              <w:keepLines/>
              <w:widowControl/>
              <w:pBdr>
                <w:top w:val="nil"/>
                <w:left w:val="nil"/>
                <w:bottom w:val="nil"/>
                <w:right w:val="nil"/>
                <w:between w:val="nil"/>
              </w:pBdr>
              <w:spacing w:line="276" w:lineRule="auto"/>
              <w:rPr>
                <w:sz w:val="18"/>
                <w:szCs w:val="18"/>
              </w:rPr>
            </w:pPr>
            <w:r w:rsidRPr="007F1D22">
              <w:rPr>
                <w:sz w:val="18"/>
                <w:szCs w:val="18"/>
              </w:rPr>
              <w:t>(Same as RACs above)</w:t>
            </w:r>
          </w:p>
          <w:p w14:paraId="1B8CFA58" w14:textId="77777777" w:rsidR="003547D1" w:rsidRPr="007F1D22" w:rsidRDefault="003547D1">
            <w:pPr>
              <w:keepLines/>
              <w:widowControl/>
              <w:pBdr>
                <w:top w:val="nil"/>
                <w:left w:val="nil"/>
                <w:bottom w:val="nil"/>
                <w:right w:val="nil"/>
                <w:between w:val="nil"/>
              </w:pBdr>
              <w:spacing w:line="276" w:lineRule="auto"/>
              <w:rPr>
                <w:sz w:val="18"/>
                <w:szCs w:val="18"/>
              </w:rPr>
            </w:pPr>
          </w:p>
          <w:p w14:paraId="0A6CD12C" w14:textId="77777777" w:rsidR="003547D1" w:rsidRPr="007F1D22" w:rsidRDefault="003547D1">
            <w:pPr>
              <w:keepLines/>
              <w:widowControl/>
              <w:pBdr>
                <w:top w:val="nil"/>
                <w:left w:val="nil"/>
                <w:bottom w:val="nil"/>
                <w:right w:val="nil"/>
                <w:between w:val="nil"/>
              </w:pBdr>
              <w:spacing w:line="276" w:lineRule="auto"/>
              <w:rPr>
                <w:sz w:val="18"/>
                <w:szCs w:val="18"/>
              </w:rPr>
            </w:pPr>
          </w:p>
        </w:tc>
      </w:tr>
      <w:tr w:rsidR="003547D1" w:rsidRPr="007F1D22" w14:paraId="38812B4E" w14:textId="77777777">
        <w:trPr>
          <w:trHeight w:val="680"/>
        </w:trPr>
        <w:tc>
          <w:tcPr>
            <w:tcW w:w="1950" w:type="dxa"/>
            <w:vMerge w:val="restart"/>
            <w:tcBorders>
              <w:top w:val="dashed" w:sz="4" w:space="0" w:color="000000"/>
            </w:tcBorders>
          </w:tcPr>
          <w:p w14:paraId="42F738ED" w14:textId="77777777" w:rsidR="003547D1" w:rsidRPr="007F1D22" w:rsidRDefault="00000000">
            <w:pPr>
              <w:keepLines/>
              <w:widowControl/>
              <w:pBdr>
                <w:top w:val="nil"/>
                <w:left w:val="nil"/>
                <w:bottom w:val="nil"/>
                <w:right w:val="nil"/>
                <w:between w:val="nil"/>
              </w:pBdr>
              <w:spacing w:line="268" w:lineRule="auto"/>
              <w:ind w:left="60"/>
              <w:rPr>
                <w:b/>
                <w:color w:val="000000"/>
                <w:sz w:val="18"/>
                <w:szCs w:val="18"/>
              </w:rPr>
            </w:pPr>
            <w:r w:rsidRPr="007F1D22">
              <w:rPr>
                <w:b/>
                <w:color w:val="000000"/>
                <w:sz w:val="18"/>
                <w:szCs w:val="18"/>
              </w:rPr>
              <w:t>Other trackers</w:t>
            </w:r>
            <w:r w:rsidRPr="007F1D22">
              <w:rPr>
                <w:color w:val="000000"/>
                <w:sz w:val="18"/>
                <w:szCs w:val="18"/>
              </w:rPr>
              <w:t xml:space="preserve"> (user choice to select additional trackers used in Virginia rate making for attention)</w:t>
            </w:r>
          </w:p>
        </w:tc>
        <w:tc>
          <w:tcPr>
            <w:tcW w:w="1695" w:type="dxa"/>
          </w:tcPr>
          <w:p w14:paraId="214FC1DA" w14:textId="77777777" w:rsidR="003547D1" w:rsidRPr="007F1D22" w:rsidRDefault="003547D1">
            <w:pPr>
              <w:keepLines/>
              <w:widowControl/>
              <w:pBdr>
                <w:top w:val="nil"/>
                <w:left w:val="nil"/>
                <w:bottom w:val="nil"/>
                <w:right w:val="nil"/>
                <w:between w:val="nil"/>
              </w:pBdr>
              <w:spacing w:line="207" w:lineRule="auto"/>
              <w:ind w:left="180"/>
              <w:rPr>
                <w:color w:val="000000"/>
                <w:sz w:val="18"/>
                <w:szCs w:val="18"/>
              </w:rPr>
            </w:pPr>
          </w:p>
        </w:tc>
        <w:tc>
          <w:tcPr>
            <w:tcW w:w="1080" w:type="dxa"/>
            <w:gridSpan w:val="2"/>
          </w:tcPr>
          <w:p w14:paraId="0BCC954D" w14:textId="77777777" w:rsidR="003547D1" w:rsidRPr="007F1D22" w:rsidRDefault="003547D1">
            <w:pPr>
              <w:keepLines/>
              <w:widowControl/>
              <w:pBdr>
                <w:top w:val="nil"/>
                <w:left w:val="nil"/>
                <w:bottom w:val="nil"/>
                <w:right w:val="nil"/>
                <w:between w:val="nil"/>
              </w:pBdr>
              <w:rPr>
                <w:rFonts w:ascii="Times New Roman" w:eastAsia="Times New Roman" w:hAnsi="Times New Roman" w:cs="Times New Roman"/>
                <w:color w:val="000000"/>
                <w:sz w:val="18"/>
                <w:szCs w:val="18"/>
              </w:rPr>
            </w:pPr>
          </w:p>
        </w:tc>
        <w:tc>
          <w:tcPr>
            <w:tcW w:w="3840" w:type="dxa"/>
          </w:tcPr>
          <w:p w14:paraId="42885AED" w14:textId="77777777" w:rsidR="003547D1" w:rsidRPr="007F1D22" w:rsidRDefault="003547D1">
            <w:pPr>
              <w:keepLines/>
              <w:widowControl/>
              <w:pBdr>
                <w:top w:val="nil"/>
                <w:left w:val="nil"/>
                <w:bottom w:val="nil"/>
                <w:right w:val="nil"/>
                <w:between w:val="nil"/>
              </w:pBdr>
              <w:spacing w:line="276" w:lineRule="auto"/>
              <w:rPr>
                <w:color w:val="000000"/>
                <w:sz w:val="18"/>
                <w:szCs w:val="18"/>
              </w:rPr>
            </w:pPr>
          </w:p>
        </w:tc>
        <w:tc>
          <w:tcPr>
            <w:tcW w:w="4710" w:type="dxa"/>
          </w:tcPr>
          <w:p w14:paraId="04151988" w14:textId="77777777" w:rsidR="003547D1" w:rsidRPr="007F1D22" w:rsidRDefault="003547D1">
            <w:pPr>
              <w:keepLines/>
              <w:widowControl/>
              <w:pBdr>
                <w:top w:val="nil"/>
                <w:left w:val="nil"/>
                <w:bottom w:val="nil"/>
                <w:right w:val="nil"/>
                <w:between w:val="nil"/>
              </w:pBdr>
              <w:spacing w:line="276" w:lineRule="auto"/>
              <w:rPr>
                <w:color w:val="000000"/>
                <w:sz w:val="18"/>
                <w:szCs w:val="18"/>
              </w:rPr>
            </w:pPr>
          </w:p>
        </w:tc>
      </w:tr>
      <w:tr w:rsidR="003547D1" w:rsidRPr="007F1D22" w14:paraId="1F6C0241" w14:textId="77777777">
        <w:tc>
          <w:tcPr>
            <w:tcW w:w="1950" w:type="dxa"/>
            <w:vMerge/>
            <w:tcBorders>
              <w:top w:val="dashed" w:sz="4" w:space="0" w:color="000000"/>
            </w:tcBorders>
          </w:tcPr>
          <w:p w14:paraId="4E673251" w14:textId="77777777" w:rsidR="003547D1" w:rsidRPr="007F1D22" w:rsidRDefault="003547D1">
            <w:pPr>
              <w:pBdr>
                <w:top w:val="nil"/>
                <w:left w:val="nil"/>
                <w:bottom w:val="nil"/>
                <w:right w:val="nil"/>
                <w:between w:val="nil"/>
              </w:pBdr>
              <w:spacing w:line="276" w:lineRule="auto"/>
              <w:rPr>
                <w:color w:val="000000"/>
                <w:sz w:val="18"/>
                <w:szCs w:val="18"/>
              </w:rPr>
            </w:pPr>
          </w:p>
        </w:tc>
        <w:tc>
          <w:tcPr>
            <w:tcW w:w="1695" w:type="dxa"/>
          </w:tcPr>
          <w:p w14:paraId="6802253D" w14:textId="77777777" w:rsidR="003547D1" w:rsidRPr="007F1D22" w:rsidRDefault="003547D1">
            <w:pPr>
              <w:keepLines/>
              <w:widowControl/>
              <w:pBdr>
                <w:top w:val="nil"/>
                <w:left w:val="nil"/>
                <w:bottom w:val="nil"/>
                <w:right w:val="nil"/>
                <w:between w:val="nil"/>
              </w:pBdr>
              <w:spacing w:line="207" w:lineRule="auto"/>
              <w:ind w:left="180"/>
              <w:rPr>
                <w:color w:val="000000"/>
                <w:sz w:val="18"/>
                <w:szCs w:val="18"/>
              </w:rPr>
            </w:pPr>
          </w:p>
        </w:tc>
        <w:tc>
          <w:tcPr>
            <w:tcW w:w="1080" w:type="dxa"/>
            <w:gridSpan w:val="2"/>
          </w:tcPr>
          <w:p w14:paraId="355B90DE" w14:textId="77777777" w:rsidR="003547D1" w:rsidRPr="007F1D22" w:rsidRDefault="003547D1">
            <w:pPr>
              <w:keepLines/>
              <w:widowControl/>
              <w:pBdr>
                <w:top w:val="nil"/>
                <w:left w:val="nil"/>
                <w:bottom w:val="nil"/>
                <w:right w:val="nil"/>
                <w:between w:val="nil"/>
              </w:pBdr>
              <w:rPr>
                <w:rFonts w:ascii="Times New Roman" w:eastAsia="Times New Roman" w:hAnsi="Times New Roman" w:cs="Times New Roman"/>
                <w:color w:val="000000"/>
                <w:sz w:val="18"/>
                <w:szCs w:val="18"/>
              </w:rPr>
            </w:pPr>
          </w:p>
        </w:tc>
        <w:tc>
          <w:tcPr>
            <w:tcW w:w="3840" w:type="dxa"/>
          </w:tcPr>
          <w:p w14:paraId="14D16A38" w14:textId="77777777" w:rsidR="003547D1" w:rsidRPr="007F1D22" w:rsidRDefault="003547D1">
            <w:pPr>
              <w:keepLines/>
              <w:widowControl/>
              <w:pBdr>
                <w:top w:val="nil"/>
                <w:left w:val="nil"/>
                <w:bottom w:val="nil"/>
                <w:right w:val="nil"/>
                <w:between w:val="nil"/>
              </w:pBdr>
              <w:spacing w:line="276" w:lineRule="auto"/>
              <w:rPr>
                <w:color w:val="000000"/>
                <w:sz w:val="18"/>
                <w:szCs w:val="18"/>
              </w:rPr>
            </w:pPr>
          </w:p>
        </w:tc>
        <w:tc>
          <w:tcPr>
            <w:tcW w:w="4710" w:type="dxa"/>
          </w:tcPr>
          <w:p w14:paraId="40E4AA74" w14:textId="77777777" w:rsidR="003547D1" w:rsidRPr="007F1D22" w:rsidRDefault="003547D1">
            <w:pPr>
              <w:keepLines/>
              <w:widowControl/>
              <w:pBdr>
                <w:top w:val="nil"/>
                <w:left w:val="nil"/>
                <w:bottom w:val="nil"/>
                <w:right w:val="nil"/>
                <w:between w:val="nil"/>
              </w:pBdr>
              <w:spacing w:line="276" w:lineRule="auto"/>
              <w:rPr>
                <w:color w:val="000000"/>
                <w:sz w:val="18"/>
                <w:szCs w:val="18"/>
              </w:rPr>
            </w:pPr>
          </w:p>
        </w:tc>
      </w:tr>
      <w:tr w:rsidR="003547D1" w:rsidRPr="007F1D22" w14:paraId="5AC08EA3" w14:textId="77777777">
        <w:tc>
          <w:tcPr>
            <w:tcW w:w="1950" w:type="dxa"/>
          </w:tcPr>
          <w:p w14:paraId="0D9F307D" w14:textId="77777777" w:rsidR="003547D1" w:rsidRPr="007F1D22" w:rsidRDefault="00000000">
            <w:pPr>
              <w:keepLines/>
              <w:widowControl/>
              <w:pBdr>
                <w:top w:val="nil"/>
                <w:left w:val="nil"/>
                <w:bottom w:val="nil"/>
                <w:right w:val="nil"/>
                <w:between w:val="nil"/>
              </w:pBdr>
              <w:spacing w:line="268" w:lineRule="auto"/>
              <w:ind w:left="60"/>
              <w:rPr>
                <w:b/>
                <w:color w:val="000000"/>
                <w:sz w:val="18"/>
                <w:szCs w:val="18"/>
              </w:rPr>
            </w:pPr>
            <w:r w:rsidRPr="007F1D22">
              <w:rPr>
                <w:b/>
                <w:color w:val="000000"/>
                <w:sz w:val="18"/>
                <w:szCs w:val="18"/>
              </w:rPr>
              <w:t>Transmission cost recovery (FERC formula rates)</w:t>
            </w:r>
          </w:p>
        </w:tc>
        <w:tc>
          <w:tcPr>
            <w:tcW w:w="1695" w:type="dxa"/>
          </w:tcPr>
          <w:p w14:paraId="2F13D9B8" w14:textId="0C57CEBC" w:rsidR="003547D1" w:rsidRPr="007F1D22" w:rsidRDefault="0027433F">
            <w:pPr>
              <w:keepLines/>
              <w:widowControl/>
              <w:pBdr>
                <w:top w:val="nil"/>
                <w:left w:val="nil"/>
                <w:bottom w:val="nil"/>
                <w:right w:val="nil"/>
                <w:between w:val="nil"/>
              </w:pBdr>
              <w:spacing w:line="207" w:lineRule="auto"/>
              <w:ind w:left="90"/>
              <w:rPr>
                <w:color w:val="000000"/>
                <w:sz w:val="18"/>
                <w:szCs w:val="18"/>
              </w:rPr>
            </w:pPr>
            <w:r>
              <w:rPr>
                <w:color w:val="000000"/>
                <w:sz w:val="18"/>
                <w:szCs w:val="18"/>
              </w:rPr>
              <w:t xml:space="preserve"> </w:t>
            </w:r>
            <w:r w:rsidRPr="007F1D22">
              <w:rPr>
                <w:color w:val="000000"/>
                <w:sz w:val="18"/>
                <w:szCs w:val="18"/>
              </w:rPr>
              <w:t xml:space="preserve"> </w:t>
            </w:r>
          </w:p>
        </w:tc>
        <w:tc>
          <w:tcPr>
            <w:tcW w:w="1080" w:type="dxa"/>
            <w:gridSpan w:val="2"/>
          </w:tcPr>
          <w:p w14:paraId="27942510" w14:textId="77777777" w:rsidR="003547D1" w:rsidRPr="007F1D22" w:rsidRDefault="003547D1">
            <w:pPr>
              <w:keepLines/>
              <w:widowControl/>
              <w:pBdr>
                <w:top w:val="nil"/>
                <w:left w:val="nil"/>
                <w:bottom w:val="nil"/>
                <w:right w:val="nil"/>
                <w:between w:val="nil"/>
              </w:pBdr>
              <w:rPr>
                <w:rFonts w:ascii="Times New Roman" w:eastAsia="Times New Roman" w:hAnsi="Times New Roman" w:cs="Times New Roman"/>
                <w:color w:val="000000"/>
                <w:sz w:val="18"/>
                <w:szCs w:val="18"/>
              </w:rPr>
            </w:pPr>
          </w:p>
        </w:tc>
        <w:tc>
          <w:tcPr>
            <w:tcW w:w="3840" w:type="dxa"/>
          </w:tcPr>
          <w:p w14:paraId="795E99A5" w14:textId="77777777" w:rsidR="003547D1" w:rsidRPr="007F1D22" w:rsidRDefault="00000000">
            <w:pPr>
              <w:keepLines/>
              <w:widowControl/>
              <w:pBdr>
                <w:top w:val="nil"/>
                <w:left w:val="nil"/>
                <w:bottom w:val="nil"/>
                <w:right w:val="nil"/>
                <w:between w:val="nil"/>
              </w:pBdr>
              <w:spacing w:line="276" w:lineRule="auto"/>
              <w:rPr>
                <w:color w:val="000000"/>
                <w:sz w:val="18"/>
                <w:szCs w:val="18"/>
                <w:highlight w:val="yellow"/>
              </w:rPr>
            </w:pPr>
            <w:r w:rsidRPr="007F1D22">
              <w:rPr>
                <w:color w:val="000000"/>
                <w:sz w:val="18"/>
                <w:szCs w:val="18"/>
                <w:highlight w:val="yellow"/>
              </w:rPr>
              <w:t xml:space="preserve"> </w:t>
            </w:r>
          </w:p>
        </w:tc>
        <w:tc>
          <w:tcPr>
            <w:tcW w:w="4710" w:type="dxa"/>
          </w:tcPr>
          <w:p w14:paraId="3D39500B" w14:textId="77777777" w:rsidR="003547D1" w:rsidRPr="007F1D22" w:rsidRDefault="003547D1">
            <w:pPr>
              <w:keepLines/>
              <w:widowControl/>
              <w:pBdr>
                <w:top w:val="nil"/>
                <w:left w:val="nil"/>
                <w:bottom w:val="nil"/>
                <w:right w:val="nil"/>
                <w:between w:val="nil"/>
              </w:pBdr>
              <w:spacing w:line="276" w:lineRule="auto"/>
              <w:rPr>
                <w:color w:val="000000"/>
                <w:sz w:val="18"/>
                <w:szCs w:val="18"/>
              </w:rPr>
            </w:pPr>
          </w:p>
        </w:tc>
      </w:tr>
      <w:tr w:rsidR="003547D1" w:rsidRPr="007F1D22" w14:paraId="0E63D18C" w14:textId="77777777">
        <w:trPr>
          <w:trHeight w:val="1160"/>
        </w:trPr>
        <w:tc>
          <w:tcPr>
            <w:tcW w:w="1950" w:type="dxa"/>
            <w:vMerge w:val="restart"/>
            <w:vAlign w:val="center"/>
          </w:tcPr>
          <w:p w14:paraId="282CD87C" w14:textId="77777777" w:rsidR="003547D1" w:rsidRPr="007F1D22" w:rsidRDefault="00000000">
            <w:pPr>
              <w:keepLines/>
              <w:widowControl/>
              <w:pBdr>
                <w:top w:val="nil"/>
                <w:left w:val="nil"/>
                <w:bottom w:val="nil"/>
                <w:right w:val="nil"/>
                <w:between w:val="nil"/>
              </w:pBdr>
              <w:spacing w:line="268" w:lineRule="auto"/>
              <w:ind w:left="60"/>
              <w:rPr>
                <w:b/>
                <w:color w:val="000000"/>
                <w:sz w:val="18"/>
                <w:szCs w:val="18"/>
              </w:rPr>
            </w:pPr>
            <w:r w:rsidRPr="007F1D22">
              <w:rPr>
                <w:b/>
                <w:color w:val="000000"/>
                <w:sz w:val="18"/>
                <w:szCs w:val="18"/>
              </w:rPr>
              <w:t>Performance adjustments and measurement</w:t>
            </w:r>
          </w:p>
        </w:tc>
        <w:tc>
          <w:tcPr>
            <w:tcW w:w="1695" w:type="dxa"/>
          </w:tcPr>
          <w:p w14:paraId="5B79DBA5" w14:textId="77777777" w:rsidR="003547D1" w:rsidRPr="007F1D22" w:rsidRDefault="00000000">
            <w:pPr>
              <w:keepLines/>
              <w:widowControl/>
              <w:pBdr>
                <w:top w:val="nil"/>
                <w:left w:val="nil"/>
                <w:bottom w:val="nil"/>
                <w:right w:val="nil"/>
                <w:between w:val="nil"/>
              </w:pBdr>
              <w:spacing w:line="207" w:lineRule="auto"/>
              <w:ind w:left="104"/>
              <w:rPr>
                <w:color w:val="000000"/>
                <w:sz w:val="18"/>
                <w:szCs w:val="18"/>
              </w:rPr>
            </w:pPr>
            <w:r w:rsidRPr="007F1D22">
              <w:rPr>
                <w:color w:val="000000"/>
                <w:sz w:val="18"/>
                <w:szCs w:val="18"/>
              </w:rPr>
              <w:t>ROE adjustment mechanisms</w:t>
            </w:r>
          </w:p>
        </w:tc>
        <w:tc>
          <w:tcPr>
            <w:tcW w:w="1080" w:type="dxa"/>
            <w:gridSpan w:val="2"/>
          </w:tcPr>
          <w:p w14:paraId="6CEC3788" w14:textId="77777777" w:rsidR="003547D1" w:rsidRPr="007F1D22" w:rsidRDefault="003547D1">
            <w:pPr>
              <w:keepLines/>
              <w:widowControl/>
              <w:pBdr>
                <w:top w:val="nil"/>
                <w:left w:val="nil"/>
                <w:bottom w:val="nil"/>
                <w:right w:val="nil"/>
                <w:between w:val="nil"/>
              </w:pBdr>
              <w:rPr>
                <w:rFonts w:ascii="Times New Roman" w:eastAsia="Times New Roman" w:hAnsi="Times New Roman" w:cs="Times New Roman"/>
                <w:color w:val="000000"/>
                <w:sz w:val="18"/>
                <w:szCs w:val="18"/>
              </w:rPr>
            </w:pPr>
          </w:p>
        </w:tc>
        <w:tc>
          <w:tcPr>
            <w:tcW w:w="3840" w:type="dxa"/>
          </w:tcPr>
          <w:p w14:paraId="3D1B6081" w14:textId="77777777" w:rsidR="003547D1" w:rsidRPr="007F1D22" w:rsidRDefault="003547D1">
            <w:pPr>
              <w:keepLines/>
              <w:widowControl/>
              <w:pBdr>
                <w:top w:val="nil"/>
                <w:left w:val="nil"/>
                <w:bottom w:val="nil"/>
                <w:right w:val="nil"/>
                <w:between w:val="nil"/>
              </w:pBdr>
              <w:spacing w:line="276" w:lineRule="auto"/>
              <w:rPr>
                <w:sz w:val="18"/>
                <w:szCs w:val="18"/>
                <w:highlight w:val="yellow"/>
              </w:rPr>
            </w:pPr>
          </w:p>
        </w:tc>
        <w:tc>
          <w:tcPr>
            <w:tcW w:w="4710" w:type="dxa"/>
          </w:tcPr>
          <w:p w14:paraId="5E5217B1" w14:textId="77777777" w:rsidR="003547D1" w:rsidRPr="007F1D22" w:rsidRDefault="00000000">
            <w:pPr>
              <w:keepLines/>
              <w:widowControl/>
              <w:pBdr>
                <w:top w:val="nil"/>
                <w:left w:val="nil"/>
                <w:bottom w:val="nil"/>
                <w:right w:val="nil"/>
                <w:between w:val="nil"/>
              </w:pBdr>
              <w:spacing w:line="276" w:lineRule="auto"/>
              <w:rPr>
                <w:sz w:val="18"/>
                <w:szCs w:val="18"/>
              </w:rPr>
            </w:pPr>
            <w:r w:rsidRPr="007F1D22">
              <w:rPr>
                <w:sz w:val="18"/>
                <w:szCs w:val="18"/>
              </w:rPr>
              <w:t xml:space="preserve"> </w:t>
            </w:r>
          </w:p>
        </w:tc>
      </w:tr>
      <w:tr w:rsidR="003547D1" w:rsidRPr="007F1D22" w14:paraId="3731E767" w14:textId="77777777">
        <w:trPr>
          <w:trHeight w:val="1616"/>
        </w:trPr>
        <w:tc>
          <w:tcPr>
            <w:tcW w:w="1950" w:type="dxa"/>
            <w:vMerge/>
            <w:vAlign w:val="center"/>
          </w:tcPr>
          <w:p w14:paraId="266A9F15" w14:textId="77777777" w:rsidR="003547D1" w:rsidRPr="007F1D22" w:rsidRDefault="003547D1">
            <w:pPr>
              <w:pBdr>
                <w:top w:val="nil"/>
                <w:left w:val="nil"/>
                <w:bottom w:val="nil"/>
                <w:right w:val="nil"/>
                <w:between w:val="nil"/>
              </w:pBdr>
              <w:spacing w:line="276" w:lineRule="auto"/>
              <w:rPr>
                <w:sz w:val="18"/>
                <w:szCs w:val="18"/>
              </w:rPr>
            </w:pPr>
          </w:p>
        </w:tc>
        <w:tc>
          <w:tcPr>
            <w:tcW w:w="1695" w:type="dxa"/>
          </w:tcPr>
          <w:p w14:paraId="6365BD72" w14:textId="77777777" w:rsidR="003547D1" w:rsidRPr="007F1D22" w:rsidRDefault="00000000">
            <w:pPr>
              <w:keepLines/>
              <w:widowControl/>
              <w:pBdr>
                <w:top w:val="nil"/>
                <w:left w:val="nil"/>
                <w:bottom w:val="nil"/>
                <w:right w:val="nil"/>
                <w:between w:val="nil"/>
              </w:pBdr>
              <w:spacing w:line="207" w:lineRule="auto"/>
              <w:ind w:left="104"/>
              <w:rPr>
                <w:color w:val="000000"/>
                <w:sz w:val="18"/>
                <w:szCs w:val="18"/>
              </w:rPr>
            </w:pPr>
            <w:r w:rsidRPr="007F1D22">
              <w:rPr>
                <w:color w:val="000000"/>
                <w:sz w:val="18"/>
                <w:szCs w:val="18"/>
              </w:rPr>
              <w:t>Energy efficiency savings target (ROE adder applied to DSM operating expenses)</w:t>
            </w:r>
          </w:p>
        </w:tc>
        <w:tc>
          <w:tcPr>
            <w:tcW w:w="1080" w:type="dxa"/>
            <w:gridSpan w:val="2"/>
          </w:tcPr>
          <w:p w14:paraId="5121AFEE" w14:textId="6A2CFD60" w:rsidR="003547D1" w:rsidRPr="007F1D22" w:rsidRDefault="0027433F">
            <w:pPr>
              <w:keepLines/>
              <w:widowControl/>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b/>
                <w:sz w:val="18"/>
                <w:szCs w:val="18"/>
              </w:rPr>
              <w:t xml:space="preserve">   </w:t>
            </w:r>
            <w:r w:rsidRPr="007F1D22">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 xml:space="preserve">      </w:t>
            </w:r>
            <w:r w:rsidRPr="007F1D22">
              <w:rPr>
                <w:b/>
                <w:color w:val="000000"/>
                <w:sz w:val="18"/>
                <w:szCs w:val="18"/>
              </w:rPr>
              <w:t>+</w:t>
            </w:r>
            <w:r>
              <w:rPr>
                <w:rFonts w:ascii="Times New Roman" w:eastAsia="Times New Roman" w:hAnsi="Times New Roman" w:cs="Times New Roman"/>
                <w:b/>
                <w:sz w:val="18"/>
                <w:szCs w:val="18"/>
              </w:rPr>
              <w:t xml:space="preserve"> </w:t>
            </w:r>
            <w:r w:rsidRPr="007F1D22">
              <w:rPr>
                <w:rFonts w:ascii="Times New Roman" w:eastAsia="Times New Roman" w:hAnsi="Times New Roman" w:cs="Times New Roman"/>
                <w:b/>
                <w:sz w:val="18"/>
                <w:szCs w:val="18"/>
              </w:rPr>
              <w:t xml:space="preserve"> </w:t>
            </w:r>
          </w:p>
        </w:tc>
        <w:tc>
          <w:tcPr>
            <w:tcW w:w="3840" w:type="dxa"/>
          </w:tcPr>
          <w:p w14:paraId="14671E6C" w14:textId="77777777" w:rsidR="003547D1" w:rsidRDefault="00000000">
            <w:pPr>
              <w:keepLines/>
              <w:widowControl/>
              <w:pBdr>
                <w:top w:val="nil"/>
                <w:left w:val="nil"/>
                <w:bottom w:val="nil"/>
                <w:right w:val="nil"/>
                <w:between w:val="nil"/>
              </w:pBdr>
              <w:spacing w:line="276" w:lineRule="auto"/>
              <w:rPr>
                <w:color w:val="000000"/>
                <w:sz w:val="18"/>
                <w:szCs w:val="18"/>
              </w:rPr>
            </w:pPr>
            <w:r w:rsidRPr="007F1D22">
              <w:rPr>
                <w:color w:val="000000"/>
                <w:sz w:val="18"/>
                <w:szCs w:val="18"/>
              </w:rPr>
              <w:t xml:space="preserve">Va. Code § 56-585.1 provides that a utility that meets its energy efficiency savings targets shall earn a return on the operating costs associated with its </w:t>
            </w:r>
            <w:r w:rsidRPr="007F1D22">
              <w:rPr>
                <w:sz w:val="18"/>
                <w:szCs w:val="18"/>
              </w:rPr>
              <w:t xml:space="preserve">energy efficiency </w:t>
            </w:r>
            <w:r w:rsidRPr="007F1D22">
              <w:rPr>
                <w:color w:val="000000"/>
                <w:sz w:val="18"/>
                <w:szCs w:val="18"/>
              </w:rPr>
              <w:t>programs. Further, if the utility exceeds its savings targets, the utility can earn an additional 20 basis points for each additional 0.1% in annual savings beyond the target.</w:t>
            </w:r>
          </w:p>
          <w:p w14:paraId="2B0032FC" w14:textId="77777777" w:rsidR="002F73E5" w:rsidRDefault="002F73E5">
            <w:pPr>
              <w:keepLines/>
              <w:widowControl/>
              <w:pBdr>
                <w:top w:val="nil"/>
                <w:left w:val="nil"/>
                <w:bottom w:val="nil"/>
                <w:right w:val="nil"/>
                <w:between w:val="nil"/>
              </w:pBdr>
              <w:spacing w:line="276" w:lineRule="auto"/>
              <w:rPr>
                <w:color w:val="000000"/>
                <w:sz w:val="18"/>
                <w:szCs w:val="18"/>
              </w:rPr>
            </w:pPr>
          </w:p>
          <w:p w14:paraId="33994CC3" w14:textId="1B22A2B1" w:rsidR="002F73E5" w:rsidRPr="007F1D22" w:rsidRDefault="002F73E5">
            <w:pPr>
              <w:keepLines/>
              <w:widowControl/>
              <w:pBdr>
                <w:top w:val="nil"/>
                <w:left w:val="nil"/>
                <w:bottom w:val="nil"/>
                <w:right w:val="nil"/>
                <w:between w:val="nil"/>
              </w:pBdr>
              <w:spacing w:line="276" w:lineRule="auto"/>
              <w:rPr>
                <w:color w:val="000000"/>
                <w:sz w:val="18"/>
                <w:szCs w:val="18"/>
              </w:rPr>
            </w:pPr>
            <w:r w:rsidRPr="007F1D22">
              <w:rPr>
                <w:sz w:val="18"/>
                <w:szCs w:val="18"/>
              </w:rPr>
              <w:t>Substantial evidence and applications show that e</w:t>
            </w:r>
            <w:r w:rsidRPr="007F1D22">
              <w:rPr>
                <w:color w:val="000000"/>
                <w:sz w:val="18"/>
                <w:szCs w:val="18"/>
              </w:rPr>
              <w:t xml:space="preserve">nergy efficiency gains can </w:t>
            </w:r>
            <w:r w:rsidRPr="007F1D22">
              <w:rPr>
                <w:sz w:val="18"/>
                <w:szCs w:val="18"/>
              </w:rPr>
              <w:t>prevent the need for</w:t>
            </w:r>
            <w:r w:rsidRPr="007F1D22">
              <w:rPr>
                <w:color w:val="000000"/>
                <w:sz w:val="18"/>
                <w:szCs w:val="18"/>
              </w:rPr>
              <w:t xml:space="preserve"> costly infrastructure projects. To the exten</w:t>
            </w:r>
            <w:r w:rsidRPr="007F1D22">
              <w:rPr>
                <w:sz w:val="18"/>
                <w:szCs w:val="18"/>
              </w:rPr>
              <w:t>t that</w:t>
            </w:r>
            <w:r w:rsidRPr="007F1D22">
              <w:rPr>
                <w:color w:val="000000"/>
                <w:sz w:val="18"/>
                <w:szCs w:val="18"/>
              </w:rPr>
              <w:t xml:space="preserve"> energy effic</w:t>
            </w:r>
            <w:r w:rsidRPr="007F1D22">
              <w:rPr>
                <w:sz w:val="18"/>
                <w:szCs w:val="18"/>
              </w:rPr>
              <w:t>ienc</w:t>
            </w:r>
            <w:r w:rsidRPr="007F1D22">
              <w:rPr>
                <w:color w:val="000000"/>
                <w:sz w:val="18"/>
                <w:szCs w:val="18"/>
              </w:rPr>
              <w:t>y programs are cost-effective, incentivizing the expansion of this resource would benefit affordability</w:t>
            </w:r>
          </w:p>
          <w:p w14:paraId="5306CA5C" w14:textId="77777777" w:rsidR="003547D1" w:rsidRPr="007F1D22" w:rsidRDefault="003547D1">
            <w:pPr>
              <w:keepLines/>
              <w:widowControl/>
              <w:pBdr>
                <w:top w:val="nil"/>
                <w:left w:val="nil"/>
                <w:bottom w:val="nil"/>
                <w:right w:val="nil"/>
                <w:between w:val="nil"/>
              </w:pBdr>
              <w:spacing w:line="276" w:lineRule="auto"/>
              <w:rPr>
                <w:color w:val="000000"/>
                <w:sz w:val="18"/>
                <w:szCs w:val="18"/>
              </w:rPr>
            </w:pPr>
          </w:p>
        </w:tc>
        <w:tc>
          <w:tcPr>
            <w:tcW w:w="4710" w:type="dxa"/>
          </w:tcPr>
          <w:p w14:paraId="468DFCF2" w14:textId="0CEDBB92" w:rsidR="003547D1" w:rsidRPr="007F1D22" w:rsidRDefault="002F73E5">
            <w:pPr>
              <w:keepLines/>
              <w:widowControl/>
              <w:pBdr>
                <w:top w:val="nil"/>
                <w:left w:val="nil"/>
                <w:bottom w:val="nil"/>
                <w:right w:val="nil"/>
                <w:between w:val="nil"/>
              </w:pBdr>
              <w:spacing w:line="276" w:lineRule="auto"/>
              <w:rPr>
                <w:sz w:val="18"/>
                <w:szCs w:val="18"/>
              </w:rPr>
            </w:pPr>
            <w:r>
              <w:rPr>
                <w:color w:val="000000"/>
                <w:sz w:val="18"/>
                <w:szCs w:val="18"/>
              </w:rPr>
              <w:t>I</w:t>
            </w:r>
            <w:r w:rsidRPr="007F1D22">
              <w:rPr>
                <w:color w:val="000000"/>
                <w:sz w:val="18"/>
                <w:szCs w:val="18"/>
              </w:rPr>
              <w:t xml:space="preserve">n recent proceedings, </w:t>
            </w:r>
            <w:r w:rsidRPr="007F1D22">
              <w:rPr>
                <w:sz w:val="18"/>
                <w:szCs w:val="18"/>
              </w:rPr>
              <w:t>Dominion Energy has forecasted that it will not comply with the energy efficiency targets established in 2020, and both APCo and Dominion proposed unreasonably low energy efficiency targets for the 2026-2028 period, which pushed down the range the Commission used to select new targets. The lack of compliance with existing targets and push for unambitious future ones, while both utilities pursue capital-intensive projects with higher levels of complexity, higher customer risk, and in some cases higher environmental impacts, casts doubt 1) on how serious investor-owned utilities are about the Commonwealth's policy commitment to energy efficiency as a low-cost resource and 2) on these utilities’ commitment to solutions that would directly promote customer affordability, especially during the periods with the highest energy consumption.</w:t>
            </w:r>
            <w:r w:rsidRPr="007F1D22">
              <w:rPr>
                <w:sz w:val="18"/>
                <w:szCs w:val="18"/>
              </w:rPr>
              <w:br/>
            </w:r>
            <w:r w:rsidRPr="007F1D22">
              <w:rPr>
                <w:sz w:val="18"/>
                <w:szCs w:val="18"/>
              </w:rPr>
              <w:br/>
              <w:t xml:space="preserve">The incentive framework put in place in 2020 was intended to equalize energy efficiency as a source of profit for utilities; however, the profit potential of new capital-intensive solutions still far outweighs the profit potential of energy efficiency and demand response programs. The current incentive framework lacks an effective and independent enforceability mechanism. Additionally, energy efficiency assumptions in utility resource planning have been flawed and insufficient. Thus, customers are still left without any assurance that, despite the strong financial incentive to prioritize capital-intensive projects, utilities will prioritize to the maximum extent possible low-cost energy efficiency and demand response solutions. </w:t>
            </w:r>
          </w:p>
          <w:p w14:paraId="502D9B5E" w14:textId="77777777" w:rsidR="003547D1" w:rsidRPr="007F1D22" w:rsidRDefault="003547D1">
            <w:pPr>
              <w:keepLines/>
              <w:widowControl/>
              <w:pBdr>
                <w:top w:val="nil"/>
                <w:left w:val="nil"/>
                <w:bottom w:val="nil"/>
                <w:right w:val="nil"/>
                <w:between w:val="nil"/>
              </w:pBdr>
              <w:spacing w:line="276" w:lineRule="auto"/>
              <w:rPr>
                <w:sz w:val="18"/>
                <w:szCs w:val="18"/>
              </w:rPr>
            </w:pPr>
          </w:p>
          <w:p w14:paraId="00AE3B9F" w14:textId="59F7F9D9" w:rsidR="003547D1" w:rsidRPr="007F1D22" w:rsidRDefault="00000000">
            <w:pPr>
              <w:keepLines/>
              <w:widowControl/>
              <w:pBdr>
                <w:top w:val="nil"/>
                <w:left w:val="nil"/>
                <w:bottom w:val="nil"/>
                <w:right w:val="nil"/>
                <w:between w:val="nil"/>
              </w:pBdr>
              <w:spacing w:line="276" w:lineRule="auto"/>
              <w:rPr>
                <w:color w:val="000000"/>
                <w:sz w:val="18"/>
                <w:szCs w:val="18"/>
              </w:rPr>
            </w:pPr>
            <w:r w:rsidRPr="007F1D22">
              <w:rPr>
                <w:sz w:val="18"/>
                <w:szCs w:val="18"/>
              </w:rPr>
              <w:lastRenderedPageBreak/>
              <w:t>If utilities are anticipating general cost increases, energy efficiency should be the cornerstone of the utilities’ resource mix, since this will directly help customers generate savings during the months with the highest consumption. The importance of this resource for customer affordability, resource adequacy, and reliability</w:t>
            </w:r>
            <w:r w:rsidR="0027433F">
              <w:rPr>
                <w:sz w:val="18"/>
                <w:szCs w:val="18"/>
              </w:rPr>
              <w:t xml:space="preserve"> </w:t>
            </w:r>
            <w:r w:rsidRPr="007F1D22">
              <w:rPr>
                <w:sz w:val="18"/>
                <w:szCs w:val="18"/>
              </w:rPr>
              <w:t xml:space="preserve">merits considering the use of existing Commission tools to guarantee compliance with targets, such as by lowering a utility's authorized ROE range. Other tools could include: 1) penalties for under-achievement and 2) requesting a report of performance metrics and improvement targets for customer awareness of and enrollment in energy efficiency programs. </w:t>
            </w:r>
            <w:r w:rsidRPr="007F1D22">
              <w:rPr>
                <w:sz w:val="18"/>
                <w:szCs w:val="18"/>
              </w:rPr>
              <w:br/>
            </w:r>
            <w:r w:rsidRPr="007F1D22">
              <w:rPr>
                <w:color w:val="000000"/>
                <w:sz w:val="18"/>
                <w:szCs w:val="18"/>
              </w:rPr>
              <w:br/>
            </w:r>
            <w:r w:rsidRPr="007F1D22">
              <w:rPr>
                <w:sz w:val="18"/>
                <w:szCs w:val="18"/>
              </w:rPr>
              <w:t>Finally</w:t>
            </w:r>
            <w:r w:rsidRPr="007F1D22">
              <w:rPr>
                <w:color w:val="000000"/>
                <w:sz w:val="18"/>
                <w:szCs w:val="18"/>
              </w:rPr>
              <w:t xml:space="preserve">, </w:t>
            </w:r>
            <w:r w:rsidRPr="007F1D22">
              <w:rPr>
                <w:sz w:val="18"/>
                <w:szCs w:val="18"/>
              </w:rPr>
              <w:t>w</w:t>
            </w:r>
            <w:r w:rsidRPr="007F1D22">
              <w:rPr>
                <w:color w:val="000000"/>
                <w:sz w:val="18"/>
                <w:szCs w:val="18"/>
              </w:rPr>
              <w:t xml:space="preserve">hile the ability to earn a return on energy efficiency costs helps to offset the utility’s throughput incentive and capital bias, creating an incentive for DSM programs that is not based on the amount of money spent may help to avoid the creation of an incentive </w:t>
            </w:r>
            <w:r w:rsidRPr="007F1D22">
              <w:rPr>
                <w:sz w:val="18"/>
                <w:szCs w:val="18"/>
              </w:rPr>
              <w:t>for the utilities to</w:t>
            </w:r>
            <w:r w:rsidRPr="007F1D22">
              <w:rPr>
                <w:color w:val="000000"/>
                <w:sz w:val="18"/>
                <w:szCs w:val="18"/>
              </w:rPr>
              <w:t xml:space="preserve"> inflate their DSM budgets, which will unnecessarily increase costs to customers. </w:t>
            </w:r>
            <w:r w:rsidRPr="007F1D22">
              <w:rPr>
                <w:color w:val="000000"/>
                <w:sz w:val="18"/>
                <w:szCs w:val="18"/>
              </w:rPr>
              <w:br/>
            </w:r>
          </w:p>
        </w:tc>
      </w:tr>
      <w:tr w:rsidR="003547D1" w:rsidRPr="007F1D22" w14:paraId="66847152" w14:textId="77777777">
        <w:trPr>
          <w:trHeight w:val="2093"/>
        </w:trPr>
        <w:tc>
          <w:tcPr>
            <w:tcW w:w="1950" w:type="dxa"/>
            <w:vMerge/>
            <w:vAlign w:val="center"/>
          </w:tcPr>
          <w:p w14:paraId="10872D71" w14:textId="77777777" w:rsidR="003547D1" w:rsidRPr="007F1D22" w:rsidRDefault="003547D1">
            <w:pPr>
              <w:pBdr>
                <w:top w:val="nil"/>
                <w:left w:val="nil"/>
                <w:bottom w:val="nil"/>
                <w:right w:val="nil"/>
                <w:between w:val="nil"/>
              </w:pBdr>
              <w:spacing w:line="276" w:lineRule="auto"/>
              <w:rPr>
                <w:color w:val="000000"/>
                <w:sz w:val="18"/>
                <w:szCs w:val="18"/>
              </w:rPr>
            </w:pPr>
          </w:p>
        </w:tc>
        <w:tc>
          <w:tcPr>
            <w:tcW w:w="1695" w:type="dxa"/>
          </w:tcPr>
          <w:p w14:paraId="2CE710E2" w14:textId="77777777" w:rsidR="003547D1" w:rsidRPr="007F1D22" w:rsidRDefault="00000000">
            <w:pPr>
              <w:keepLines/>
              <w:widowControl/>
              <w:pBdr>
                <w:top w:val="nil"/>
                <w:left w:val="nil"/>
                <w:bottom w:val="nil"/>
                <w:right w:val="nil"/>
                <w:between w:val="nil"/>
              </w:pBdr>
              <w:spacing w:line="207" w:lineRule="auto"/>
              <w:ind w:left="104"/>
              <w:rPr>
                <w:color w:val="000000"/>
                <w:sz w:val="18"/>
                <w:szCs w:val="18"/>
              </w:rPr>
            </w:pPr>
            <w:r w:rsidRPr="007F1D22">
              <w:rPr>
                <w:color w:val="000000"/>
                <w:sz w:val="18"/>
                <w:szCs w:val="18"/>
              </w:rPr>
              <w:t>Performance mechanisms (e.g., metrics, scorecards, PIMS), including Case No. PUR-2023-00210 (Separate SCC PBR Case)</w:t>
            </w:r>
          </w:p>
        </w:tc>
        <w:tc>
          <w:tcPr>
            <w:tcW w:w="1080" w:type="dxa"/>
            <w:gridSpan w:val="2"/>
          </w:tcPr>
          <w:p w14:paraId="377F76DC" w14:textId="77777777" w:rsidR="003547D1" w:rsidRPr="007F1D22" w:rsidRDefault="00000000">
            <w:pPr>
              <w:keepLines/>
              <w:widowControl/>
              <w:pBdr>
                <w:top w:val="nil"/>
                <w:left w:val="nil"/>
                <w:bottom w:val="nil"/>
                <w:right w:val="nil"/>
                <w:between w:val="nil"/>
              </w:pBdr>
              <w:jc w:val="center"/>
              <w:rPr>
                <w:rFonts w:ascii="Times New Roman" w:eastAsia="Times New Roman" w:hAnsi="Times New Roman" w:cs="Times New Roman"/>
                <w:color w:val="000000"/>
                <w:sz w:val="18"/>
                <w:szCs w:val="18"/>
              </w:rPr>
            </w:pPr>
            <w:r w:rsidRPr="007F1D22">
              <w:rPr>
                <w:rFonts w:ascii="Times New Roman" w:eastAsia="Times New Roman" w:hAnsi="Times New Roman" w:cs="Times New Roman"/>
                <w:sz w:val="18"/>
                <w:szCs w:val="18"/>
              </w:rPr>
              <w:t>+</w:t>
            </w:r>
          </w:p>
        </w:tc>
        <w:tc>
          <w:tcPr>
            <w:tcW w:w="3840" w:type="dxa"/>
          </w:tcPr>
          <w:p w14:paraId="2FFF97B6" w14:textId="77777777" w:rsidR="003547D1" w:rsidRPr="007F1D22" w:rsidRDefault="00000000">
            <w:pPr>
              <w:keepLines/>
              <w:widowControl/>
              <w:pBdr>
                <w:top w:val="nil"/>
                <w:left w:val="nil"/>
                <w:bottom w:val="nil"/>
                <w:right w:val="nil"/>
                <w:between w:val="nil"/>
              </w:pBdr>
              <w:spacing w:line="276" w:lineRule="auto"/>
              <w:rPr>
                <w:color w:val="000000"/>
                <w:sz w:val="18"/>
                <w:szCs w:val="18"/>
              </w:rPr>
            </w:pPr>
            <w:r w:rsidRPr="007F1D22">
              <w:rPr>
                <w:sz w:val="18"/>
                <w:szCs w:val="18"/>
              </w:rPr>
              <w:t>This tool’s i</w:t>
            </w:r>
            <w:r w:rsidRPr="007F1D22">
              <w:rPr>
                <w:color w:val="000000"/>
                <w:sz w:val="18"/>
                <w:szCs w:val="18"/>
              </w:rPr>
              <w:t xml:space="preserve">mpacts on affordability depend on the PIM design and the overall cost savings achieved </w:t>
            </w:r>
            <w:r w:rsidRPr="007F1D22">
              <w:rPr>
                <w:sz w:val="18"/>
                <w:szCs w:val="18"/>
              </w:rPr>
              <w:t>by</w:t>
            </w:r>
            <w:r w:rsidRPr="007F1D22">
              <w:rPr>
                <w:color w:val="000000"/>
                <w:sz w:val="18"/>
                <w:szCs w:val="18"/>
              </w:rPr>
              <w:t xml:space="preserve"> the </w:t>
            </w:r>
            <w:r w:rsidRPr="007F1D22">
              <w:rPr>
                <w:sz w:val="18"/>
                <w:szCs w:val="18"/>
              </w:rPr>
              <w:t>program</w:t>
            </w:r>
            <w:r w:rsidRPr="007F1D22">
              <w:rPr>
                <w:color w:val="000000"/>
                <w:sz w:val="18"/>
                <w:szCs w:val="18"/>
              </w:rPr>
              <w:t xml:space="preserve"> the PIM </w:t>
            </w:r>
            <w:r w:rsidRPr="007F1D22">
              <w:rPr>
                <w:sz w:val="18"/>
                <w:szCs w:val="18"/>
              </w:rPr>
              <w:t>intends</w:t>
            </w:r>
            <w:r w:rsidRPr="007F1D22">
              <w:rPr>
                <w:color w:val="000000"/>
                <w:sz w:val="18"/>
                <w:szCs w:val="18"/>
              </w:rPr>
              <w:t xml:space="preserve"> to incentivize. </w:t>
            </w:r>
          </w:p>
          <w:p w14:paraId="7B6BE706" w14:textId="77777777" w:rsidR="003547D1" w:rsidRPr="007F1D22" w:rsidRDefault="00000000">
            <w:pPr>
              <w:keepLines/>
              <w:widowControl/>
              <w:pBdr>
                <w:top w:val="nil"/>
                <w:left w:val="nil"/>
                <w:bottom w:val="nil"/>
                <w:right w:val="nil"/>
                <w:between w:val="nil"/>
              </w:pBdr>
              <w:spacing w:line="276" w:lineRule="auto"/>
              <w:rPr>
                <w:color w:val="000000"/>
                <w:sz w:val="18"/>
                <w:szCs w:val="18"/>
              </w:rPr>
            </w:pPr>
            <w:r w:rsidRPr="007F1D22">
              <w:rPr>
                <w:color w:val="000000"/>
                <w:sz w:val="18"/>
                <w:szCs w:val="18"/>
              </w:rPr>
              <w:br/>
              <w:t>PIMs can help align a utility’s financial incentives with the public interest. However, PIMs should be designed in concert with cost recovery mechanisms. For example, if the utility can recover the costs of meeting a PIM target through a tracker, then it has every incentive to spend as much as is required to meet the PIM target, even if the costs outweigh the benefits.</w:t>
            </w:r>
          </w:p>
        </w:tc>
        <w:tc>
          <w:tcPr>
            <w:tcW w:w="4710" w:type="dxa"/>
          </w:tcPr>
          <w:p w14:paraId="758ABD13" w14:textId="77777777" w:rsidR="003547D1" w:rsidRPr="007F1D22" w:rsidRDefault="00000000">
            <w:pPr>
              <w:keepLines/>
              <w:widowControl/>
              <w:pBdr>
                <w:top w:val="nil"/>
                <w:left w:val="nil"/>
                <w:bottom w:val="nil"/>
                <w:right w:val="nil"/>
                <w:between w:val="nil"/>
              </w:pBdr>
              <w:spacing w:line="276" w:lineRule="auto"/>
              <w:rPr>
                <w:color w:val="000000"/>
                <w:sz w:val="18"/>
                <w:szCs w:val="18"/>
              </w:rPr>
            </w:pPr>
            <w:r w:rsidRPr="007F1D22">
              <w:rPr>
                <w:color w:val="000000"/>
                <w:sz w:val="18"/>
                <w:szCs w:val="18"/>
              </w:rPr>
              <w:t>PIMs should be implemented in Virginia alongside incentives to control the costs associated with meeting the PIM targets. In addition, the total value of potential PIM rewards plus the utility’s base ROE should not be excessive, or the utility will have a stronger incentive to expand its rate base.</w:t>
            </w:r>
          </w:p>
        </w:tc>
      </w:tr>
      <w:tr w:rsidR="003547D1" w:rsidRPr="007F1D22" w14:paraId="47C2A84D" w14:textId="77777777">
        <w:trPr>
          <w:cantSplit/>
        </w:trPr>
        <w:tc>
          <w:tcPr>
            <w:tcW w:w="1950" w:type="dxa"/>
            <w:vMerge w:val="restart"/>
            <w:vAlign w:val="center"/>
          </w:tcPr>
          <w:p w14:paraId="01FC3487" w14:textId="77777777" w:rsidR="003547D1" w:rsidRPr="007F1D22" w:rsidRDefault="00000000">
            <w:pPr>
              <w:keepLines/>
              <w:widowControl/>
              <w:pBdr>
                <w:top w:val="nil"/>
                <w:left w:val="nil"/>
                <w:bottom w:val="nil"/>
                <w:right w:val="nil"/>
                <w:between w:val="nil"/>
              </w:pBdr>
              <w:spacing w:line="268" w:lineRule="auto"/>
              <w:ind w:left="60"/>
              <w:rPr>
                <w:b/>
                <w:color w:val="000000"/>
                <w:sz w:val="18"/>
                <w:szCs w:val="18"/>
              </w:rPr>
            </w:pPr>
            <w:r w:rsidRPr="007F1D22">
              <w:rPr>
                <w:b/>
                <w:color w:val="000000"/>
                <w:sz w:val="18"/>
                <w:szCs w:val="18"/>
              </w:rPr>
              <w:lastRenderedPageBreak/>
              <w:t>Other ratemaking and regulatory features</w:t>
            </w:r>
          </w:p>
        </w:tc>
        <w:tc>
          <w:tcPr>
            <w:tcW w:w="1695" w:type="dxa"/>
          </w:tcPr>
          <w:p w14:paraId="4377DB6F" w14:textId="77777777" w:rsidR="003547D1" w:rsidRPr="007F1D22" w:rsidRDefault="00000000">
            <w:pPr>
              <w:keepLines/>
              <w:widowControl/>
              <w:pBdr>
                <w:top w:val="nil"/>
                <w:left w:val="nil"/>
                <w:bottom w:val="nil"/>
                <w:right w:val="nil"/>
                <w:between w:val="nil"/>
              </w:pBdr>
              <w:spacing w:line="207" w:lineRule="auto"/>
              <w:ind w:left="104"/>
              <w:rPr>
                <w:color w:val="000000"/>
                <w:sz w:val="18"/>
                <w:szCs w:val="18"/>
              </w:rPr>
            </w:pPr>
            <w:r w:rsidRPr="007F1D22">
              <w:rPr>
                <w:color w:val="000000"/>
                <w:sz w:val="18"/>
                <w:szCs w:val="18"/>
              </w:rPr>
              <w:t>IRPs</w:t>
            </w:r>
          </w:p>
        </w:tc>
        <w:tc>
          <w:tcPr>
            <w:tcW w:w="1080" w:type="dxa"/>
            <w:gridSpan w:val="2"/>
          </w:tcPr>
          <w:p w14:paraId="682A1A99" w14:textId="38FA6C0A" w:rsidR="003547D1" w:rsidRPr="007F1D22" w:rsidRDefault="0027433F">
            <w:pPr>
              <w:keepLines/>
              <w:widowControl/>
              <w:pBdr>
                <w:top w:val="nil"/>
                <w:left w:val="nil"/>
                <w:bottom w:val="nil"/>
                <w:right w:val="nil"/>
                <w:between w:val="nil"/>
              </w:pBdr>
              <w:rPr>
                <w:rFonts w:ascii="Times New Roman" w:eastAsia="Times New Roman" w:hAnsi="Times New Roman" w:cs="Times New Roman"/>
                <w:color w:val="000000"/>
                <w:sz w:val="18"/>
                <w:szCs w:val="18"/>
              </w:rPr>
            </w:pPr>
            <w:r>
              <w:rPr>
                <w:b/>
                <w:color w:val="000000"/>
                <w:sz w:val="18"/>
                <w:szCs w:val="18"/>
              </w:rPr>
              <w:t xml:space="preserve">      </w:t>
            </w:r>
            <w:r w:rsidRPr="007F1D22">
              <w:rPr>
                <w:b/>
                <w:color w:val="000000"/>
                <w:sz w:val="18"/>
                <w:szCs w:val="18"/>
              </w:rPr>
              <w:t xml:space="preserve"> 0</w:t>
            </w:r>
          </w:p>
        </w:tc>
        <w:tc>
          <w:tcPr>
            <w:tcW w:w="3840" w:type="dxa"/>
          </w:tcPr>
          <w:p w14:paraId="324B584B" w14:textId="77777777" w:rsidR="003547D1" w:rsidRPr="007F1D22" w:rsidRDefault="00000000">
            <w:pPr>
              <w:keepLines/>
              <w:widowControl/>
              <w:pBdr>
                <w:top w:val="nil"/>
                <w:left w:val="nil"/>
                <w:bottom w:val="nil"/>
                <w:right w:val="nil"/>
                <w:between w:val="nil"/>
              </w:pBdr>
              <w:spacing w:line="276" w:lineRule="auto"/>
              <w:rPr>
                <w:sz w:val="18"/>
                <w:szCs w:val="18"/>
              </w:rPr>
            </w:pPr>
            <w:r w:rsidRPr="007F1D22">
              <w:rPr>
                <w:color w:val="000000"/>
                <w:sz w:val="18"/>
                <w:szCs w:val="18"/>
              </w:rPr>
              <w:t>In theory, Integrated Resource Plans should be a useful instrument to identify least-cost pathways to compl</w:t>
            </w:r>
            <w:r w:rsidRPr="007F1D22">
              <w:rPr>
                <w:sz w:val="18"/>
                <w:szCs w:val="18"/>
              </w:rPr>
              <w:t>iance</w:t>
            </w:r>
            <w:r w:rsidRPr="007F1D22">
              <w:rPr>
                <w:color w:val="000000"/>
                <w:sz w:val="18"/>
                <w:szCs w:val="18"/>
              </w:rPr>
              <w:t xml:space="preserve"> with existing laws and regulations. </w:t>
            </w:r>
            <w:r w:rsidRPr="007F1D22">
              <w:rPr>
                <w:sz w:val="18"/>
                <w:szCs w:val="18"/>
              </w:rPr>
              <w:t xml:space="preserve">However, although a critical tool for stakeholders to understand utilities’ overall investment plans, IRP proceedings are not currently conducive to finding, studying, and exploring least cost pathways. Rather, they are a forceful litigation process where utilities’ main goal is to justify and defend their pre-established investment decisions. </w:t>
            </w:r>
            <w:r w:rsidRPr="007F1D22">
              <w:rPr>
                <w:color w:val="000000"/>
                <w:sz w:val="18"/>
                <w:szCs w:val="18"/>
              </w:rPr>
              <w:br/>
            </w:r>
            <w:r w:rsidRPr="007F1D22">
              <w:rPr>
                <w:color w:val="000000"/>
                <w:sz w:val="18"/>
                <w:szCs w:val="18"/>
              </w:rPr>
              <w:br/>
              <w:t>In Virginia, the IRP lacks enforceability</w:t>
            </w:r>
            <w:r w:rsidRPr="007F1D22">
              <w:rPr>
                <w:sz w:val="18"/>
                <w:szCs w:val="18"/>
              </w:rPr>
              <w:t xml:space="preserve">, meaning that these plans are not binding, and the utility is not required to adopt any specific plan. Furthermore, since 2023, only Dominion has been required to present a planning document, while APCo has been excluded from this obligation. Although a lot of the same planning work is filed by APCo in its renewable portfolio standard (RPS) proceedings, these RPS filings are not suited to analyzing alternative options in detail or to requesting alternative modeling assumptions. </w:t>
            </w:r>
          </w:p>
          <w:p w14:paraId="0F8700A1" w14:textId="77777777" w:rsidR="003547D1" w:rsidRPr="007F1D22" w:rsidRDefault="003547D1">
            <w:pPr>
              <w:keepLines/>
              <w:widowControl/>
              <w:pBdr>
                <w:top w:val="nil"/>
                <w:left w:val="nil"/>
                <w:bottom w:val="nil"/>
                <w:right w:val="nil"/>
                <w:between w:val="nil"/>
              </w:pBdr>
              <w:spacing w:line="276" w:lineRule="auto"/>
              <w:rPr>
                <w:sz w:val="18"/>
                <w:szCs w:val="18"/>
              </w:rPr>
            </w:pPr>
          </w:p>
          <w:p w14:paraId="492FC9A0" w14:textId="77777777" w:rsidR="003547D1" w:rsidRPr="007F1D22" w:rsidRDefault="00000000">
            <w:pPr>
              <w:keepLines/>
              <w:widowControl/>
              <w:pBdr>
                <w:top w:val="nil"/>
                <w:left w:val="nil"/>
                <w:bottom w:val="nil"/>
                <w:right w:val="nil"/>
                <w:between w:val="nil"/>
              </w:pBdr>
              <w:spacing w:line="276" w:lineRule="auto"/>
              <w:rPr>
                <w:sz w:val="18"/>
                <w:szCs w:val="18"/>
              </w:rPr>
            </w:pPr>
            <w:r w:rsidRPr="007F1D22">
              <w:rPr>
                <w:sz w:val="18"/>
                <w:szCs w:val="18"/>
              </w:rPr>
              <w:t xml:space="preserve">Since 2023, Virginia law has required an IRP stakeholder process to facilitate stakeholders’ participation in and understanding of the planning process. Although this has generated positive progress for Dominion’s planning process, </w:t>
            </w:r>
            <w:proofErr w:type="gramStart"/>
            <w:r w:rsidRPr="007F1D22">
              <w:rPr>
                <w:sz w:val="18"/>
                <w:szCs w:val="18"/>
              </w:rPr>
              <w:t>the final result</w:t>
            </w:r>
            <w:proofErr w:type="gramEnd"/>
            <w:r w:rsidRPr="007F1D22">
              <w:rPr>
                <w:sz w:val="18"/>
                <w:szCs w:val="18"/>
              </w:rPr>
              <w:t xml:space="preserve"> of the 2024 IRP was not much different from the deficient document filed in the previous year by the utility. </w:t>
            </w:r>
          </w:p>
        </w:tc>
        <w:tc>
          <w:tcPr>
            <w:tcW w:w="4710" w:type="dxa"/>
          </w:tcPr>
          <w:p w14:paraId="4956CE40" w14:textId="77777777" w:rsidR="003547D1" w:rsidRPr="007F1D22" w:rsidRDefault="00000000">
            <w:pPr>
              <w:keepLines/>
              <w:widowControl/>
              <w:pBdr>
                <w:top w:val="nil"/>
                <w:left w:val="nil"/>
                <w:bottom w:val="nil"/>
                <w:right w:val="nil"/>
                <w:between w:val="nil"/>
              </w:pBdr>
              <w:spacing w:line="276" w:lineRule="auto"/>
              <w:rPr>
                <w:sz w:val="18"/>
                <w:szCs w:val="18"/>
              </w:rPr>
            </w:pPr>
            <w:r w:rsidRPr="007F1D22">
              <w:rPr>
                <w:sz w:val="18"/>
                <w:szCs w:val="18"/>
              </w:rPr>
              <w:t xml:space="preserve">The IRP is the only place where a utility’s resource plan can be holistically evaluated; however, changes or modifications to the planning document do not have to translate into specific resource acquisition decisions. To Clean Virginia’s knowledge, there is no other proceeding where the Commission and stakeholders can </w:t>
            </w:r>
            <w:proofErr w:type="gramStart"/>
            <w:r w:rsidRPr="007F1D22">
              <w:rPr>
                <w:sz w:val="18"/>
                <w:szCs w:val="18"/>
              </w:rPr>
              <w:t>actually compare</w:t>
            </w:r>
            <w:proofErr w:type="gramEnd"/>
            <w:r w:rsidRPr="007F1D22">
              <w:rPr>
                <w:sz w:val="18"/>
                <w:szCs w:val="18"/>
              </w:rPr>
              <w:t xml:space="preserve"> investment portfolios and ensure that the path forward is the most cost efficient and affordable solution possible. However, the lack of connection between planning and resource acquisition reduces the usefulness and undermines the goals of IRP proceedings.</w:t>
            </w:r>
          </w:p>
          <w:p w14:paraId="22333FE6" w14:textId="77777777" w:rsidR="003547D1" w:rsidRPr="007F1D22" w:rsidRDefault="003547D1">
            <w:pPr>
              <w:keepLines/>
              <w:widowControl/>
              <w:pBdr>
                <w:top w:val="nil"/>
                <w:left w:val="nil"/>
                <w:bottom w:val="nil"/>
                <w:right w:val="nil"/>
                <w:between w:val="nil"/>
              </w:pBdr>
              <w:spacing w:line="276" w:lineRule="auto"/>
              <w:rPr>
                <w:sz w:val="18"/>
                <w:szCs w:val="18"/>
              </w:rPr>
            </w:pPr>
          </w:p>
          <w:p w14:paraId="23271B72" w14:textId="7B2AB722" w:rsidR="003547D1" w:rsidRPr="007F1D22" w:rsidRDefault="00000000">
            <w:pPr>
              <w:keepLines/>
              <w:widowControl/>
              <w:pBdr>
                <w:top w:val="nil"/>
                <w:left w:val="nil"/>
                <w:bottom w:val="nil"/>
                <w:right w:val="nil"/>
                <w:between w:val="nil"/>
              </w:pBdr>
              <w:spacing w:line="276" w:lineRule="auto"/>
              <w:rPr>
                <w:sz w:val="18"/>
                <w:szCs w:val="18"/>
              </w:rPr>
            </w:pPr>
            <w:proofErr w:type="gramStart"/>
            <w:r w:rsidRPr="007F1D22">
              <w:rPr>
                <w:sz w:val="18"/>
                <w:szCs w:val="18"/>
              </w:rPr>
              <w:t>The end result</w:t>
            </w:r>
            <w:proofErr w:type="gramEnd"/>
            <w:r w:rsidRPr="007F1D22">
              <w:rPr>
                <w:sz w:val="18"/>
                <w:szCs w:val="18"/>
              </w:rPr>
              <w:t xml:space="preserve"> is that the IRP is currently not a proceeding that is conducive to ensuring future utility investment plans are the least-cost alternative available.</w:t>
            </w:r>
            <w:r w:rsidR="0027433F">
              <w:rPr>
                <w:sz w:val="18"/>
                <w:szCs w:val="18"/>
              </w:rPr>
              <w:t xml:space="preserve"> </w:t>
            </w:r>
          </w:p>
          <w:p w14:paraId="2E54A36E" w14:textId="77777777" w:rsidR="003547D1" w:rsidRPr="007F1D22" w:rsidRDefault="003547D1">
            <w:pPr>
              <w:keepLines/>
              <w:widowControl/>
              <w:pBdr>
                <w:top w:val="nil"/>
                <w:left w:val="nil"/>
                <w:bottom w:val="nil"/>
                <w:right w:val="nil"/>
                <w:between w:val="nil"/>
              </w:pBdr>
              <w:spacing w:line="276" w:lineRule="auto"/>
              <w:rPr>
                <w:sz w:val="18"/>
                <w:szCs w:val="18"/>
              </w:rPr>
            </w:pPr>
          </w:p>
          <w:p w14:paraId="000E8397" w14:textId="77777777" w:rsidR="003547D1" w:rsidRPr="007F1D22" w:rsidRDefault="00000000">
            <w:pPr>
              <w:keepLines/>
              <w:widowControl/>
              <w:pBdr>
                <w:top w:val="nil"/>
                <w:left w:val="nil"/>
                <w:bottom w:val="nil"/>
                <w:right w:val="nil"/>
                <w:between w:val="nil"/>
              </w:pBdr>
              <w:spacing w:line="276" w:lineRule="auto"/>
              <w:rPr>
                <w:sz w:val="18"/>
                <w:szCs w:val="18"/>
              </w:rPr>
            </w:pPr>
            <w:r w:rsidRPr="007F1D22">
              <w:rPr>
                <w:sz w:val="18"/>
                <w:szCs w:val="18"/>
              </w:rPr>
              <w:t xml:space="preserve">Although reforms to the planning and resource acquisition frameworks are not classic PBR concepts, these aspects are crucial to improve the performance areas under evaluation. Cost-efficient utility investments and affordability are intrinsically connected to effective planning. Furthermore, with the extensive use of riders weakening cost containment incentives, improving the IRP process to ensure plans reflect least-cost solutions that comply with the existing laws and regulations is of utter importance. </w:t>
            </w:r>
          </w:p>
          <w:p w14:paraId="47DAD60D" w14:textId="77777777" w:rsidR="003547D1" w:rsidRPr="007F1D22" w:rsidRDefault="003547D1">
            <w:pPr>
              <w:keepLines/>
              <w:widowControl/>
              <w:pBdr>
                <w:top w:val="nil"/>
                <w:left w:val="nil"/>
                <w:bottom w:val="nil"/>
                <w:right w:val="nil"/>
                <w:between w:val="nil"/>
              </w:pBdr>
              <w:spacing w:line="276" w:lineRule="auto"/>
              <w:rPr>
                <w:sz w:val="18"/>
                <w:szCs w:val="18"/>
              </w:rPr>
            </w:pPr>
          </w:p>
          <w:p w14:paraId="31529248" w14:textId="77777777" w:rsidR="003547D1" w:rsidRPr="007F1D22" w:rsidRDefault="003547D1">
            <w:pPr>
              <w:pStyle w:val="Title"/>
              <w:keepLines/>
              <w:widowControl/>
              <w:spacing w:before="120"/>
              <w:ind w:left="0"/>
              <w:jc w:val="left"/>
              <w:rPr>
                <w:sz w:val="18"/>
                <w:szCs w:val="18"/>
              </w:rPr>
            </w:pPr>
            <w:bookmarkStart w:id="2" w:name="_heading=h.gbn8hf6fbp1y" w:colFirst="0" w:colLast="0"/>
            <w:bookmarkEnd w:id="2"/>
          </w:p>
        </w:tc>
      </w:tr>
      <w:tr w:rsidR="003547D1" w:rsidRPr="007F1D22" w14:paraId="7AFD2C26" w14:textId="77777777">
        <w:trPr>
          <w:cantSplit/>
        </w:trPr>
        <w:tc>
          <w:tcPr>
            <w:tcW w:w="1950" w:type="dxa"/>
            <w:vMerge/>
            <w:vAlign w:val="center"/>
          </w:tcPr>
          <w:p w14:paraId="11BF6B24" w14:textId="77777777" w:rsidR="003547D1" w:rsidRPr="007F1D22" w:rsidRDefault="003547D1">
            <w:pPr>
              <w:pBdr>
                <w:top w:val="nil"/>
                <w:left w:val="nil"/>
                <w:bottom w:val="nil"/>
                <w:right w:val="nil"/>
                <w:between w:val="nil"/>
              </w:pBdr>
              <w:spacing w:line="276" w:lineRule="auto"/>
              <w:rPr>
                <w:color w:val="000000"/>
                <w:sz w:val="18"/>
                <w:szCs w:val="18"/>
              </w:rPr>
            </w:pPr>
          </w:p>
        </w:tc>
        <w:tc>
          <w:tcPr>
            <w:tcW w:w="1695" w:type="dxa"/>
          </w:tcPr>
          <w:p w14:paraId="777DFD65" w14:textId="77777777" w:rsidR="003547D1" w:rsidRPr="007F1D22" w:rsidRDefault="00000000">
            <w:pPr>
              <w:keepLines/>
              <w:widowControl/>
              <w:pBdr>
                <w:top w:val="nil"/>
                <w:left w:val="nil"/>
                <w:bottom w:val="nil"/>
                <w:right w:val="nil"/>
                <w:between w:val="nil"/>
              </w:pBdr>
              <w:spacing w:line="207" w:lineRule="auto"/>
              <w:ind w:left="104"/>
              <w:rPr>
                <w:color w:val="000000"/>
                <w:sz w:val="18"/>
                <w:szCs w:val="18"/>
              </w:rPr>
            </w:pPr>
            <w:r w:rsidRPr="007F1D22">
              <w:rPr>
                <w:color w:val="000000"/>
                <w:sz w:val="18"/>
                <w:szCs w:val="18"/>
              </w:rPr>
              <w:t>Certificates of Public Need and Necessity (CPCN)</w:t>
            </w:r>
          </w:p>
        </w:tc>
        <w:tc>
          <w:tcPr>
            <w:tcW w:w="1080" w:type="dxa"/>
            <w:gridSpan w:val="2"/>
          </w:tcPr>
          <w:p w14:paraId="376F0A2C" w14:textId="77777777" w:rsidR="003547D1" w:rsidRPr="007F1D22" w:rsidRDefault="00000000">
            <w:pPr>
              <w:keepLines/>
              <w:widowControl/>
              <w:pBdr>
                <w:top w:val="nil"/>
                <w:left w:val="nil"/>
                <w:bottom w:val="nil"/>
                <w:right w:val="nil"/>
                <w:between w:val="nil"/>
              </w:pBdr>
              <w:jc w:val="center"/>
              <w:rPr>
                <w:rFonts w:ascii="Times New Roman" w:eastAsia="Times New Roman" w:hAnsi="Times New Roman" w:cs="Times New Roman"/>
                <w:b/>
                <w:color w:val="000000"/>
                <w:sz w:val="18"/>
                <w:szCs w:val="18"/>
              </w:rPr>
            </w:pPr>
            <w:r w:rsidRPr="007F1D22">
              <w:rPr>
                <w:b/>
                <w:color w:val="000000"/>
                <w:sz w:val="18"/>
                <w:szCs w:val="18"/>
              </w:rPr>
              <w:t>0</w:t>
            </w:r>
            <w:r w:rsidRPr="007F1D22">
              <w:rPr>
                <w:rFonts w:ascii="Times New Roman" w:eastAsia="Times New Roman" w:hAnsi="Times New Roman" w:cs="Times New Roman"/>
                <w:b/>
                <w:sz w:val="18"/>
                <w:szCs w:val="18"/>
              </w:rPr>
              <w:t xml:space="preserve"> </w:t>
            </w:r>
          </w:p>
        </w:tc>
        <w:tc>
          <w:tcPr>
            <w:tcW w:w="3840" w:type="dxa"/>
          </w:tcPr>
          <w:p w14:paraId="39E604D7" w14:textId="287467C2" w:rsidR="003547D1" w:rsidRPr="007F1D22" w:rsidRDefault="00000000">
            <w:pPr>
              <w:keepLines/>
              <w:widowControl/>
              <w:pBdr>
                <w:top w:val="nil"/>
                <w:left w:val="nil"/>
                <w:bottom w:val="nil"/>
                <w:right w:val="nil"/>
                <w:between w:val="nil"/>
              </w:pBdr>
              <w:spacing w:line="276" w:lineRule="auto"/>
              <w:rPr>
                <w:color w:val="000000"/>
                <w:sz w:val="18"/>
                <w:szCs w:val="18"/>
              </w:rPr>
            </w:pPr>
            <w:r w:rsidRPr="007F1D22">
              <w:rPr>
                <w:color w:val="000000"/>
                <w:sz w:val="18"/>
                <w:szCs w:val="18"/>
              </w:rPr>
              <w:t>A CPCN is a permit granted to a utility that authorizes it to provide service to a new geographic area</w:t>
            </w:r>
            <w:r w:rsidRPr="007F1D22">
              <w:rPr>
                <w:sz w:val="18"/>
                <w:szCs w:val="18"/>
              </w:rPr>
              <w:t>,</w:t>
            </w:r>
            <w:r w:rsidRPr="007F1D22">
              <w:rPr>
                <w:color w:val="000000"/>
                <w:sz w:val="18"/>
                <w:szCs w:val="18"/>
              </w:rPr>
              <w:t xml:space="preserve"> enter into a new franchise agreement, and construct and operate a new facility or an extension of a facility that is outside the "ordinary course of business."</w:t>
            </w:r>
            <w:r w:rsidR="002F73E5">
              <w:rPr>
                <w:color w:val="000000"/>
                <w:sz w:val="18"/>
                <w:szCs w:val="18"/>
              </w:rPr>
              <w:br/>
              <w:t xml:space="preserve">The extend to which a CPCN favors or disfavors affordability depends on whether or not the approved project is the least-cost and lest-harmful option available to meet grid demand. And the extend to which utilizes are accountable for thoroughly proving this. </w:t>
            </w:r>
          </w:p>
          <w:p w14:paraId="48547130" w14:textId="77777777" w:rsidR="003547D1" w:rsidRPr="007F1D22" w:rsidRDefault="003547D1">
            <w:pPr>
              <w:keepLines/>
              <w:widowControl/>
              <w:pBdr>
                <w:top w:val="nil"/>
                <w:left w:val="nil"/>
                <w:bottom w:val="nil"/>
                <w:right w:val="nil"/>
                <w:between w:val="nil"/>
              </w:pBdr>
              <w:spacing w:line="276" w:lineRule="auto"/>
              <w:rPr>
                <w:color w:val="000000"/>
                <w:sz w:val="18"/>
                <w:szCs w:val="18"/>
              </w:rPr>
            </w:pPr>
          </w:p>
          <w:p w14:paraId="6A872A68" w14:textId="77777777" w:rsidR="003547D1" w:rsidRPr="007F1D22" w:rsidRDefault="00000000">
            <w:pPr>
              <w:keepLines/>
              <w:widowControl/>
              <w:pBdr>
                <w:top w:val="nil"/>
                <w:left w:val="nil"/>
                <w:bottom w:val="nil"/>
                <w:right w:val="nil"/>
                <w:between w:val="nil"/>
              </w:pBdr>
              <w:spacing w:line="276" w:lineRule="auto"/>
              <w:rPr>
                <w:color w:val="000000"/>
                <w:sz w:val="18"/>
                <w:szCs w:val="18"/>
              </w:rPr>
            </w:pPr>
            <w:r w:rsidRPr="007F1D22">
              <w:rPr>
                <w:color w:val="000000"/>
                <w:sz w:val="18"/>
                <w:szCs w:val="18"/>
              </w:rPr>
              <w:t xml:space="preserve"> </w:t>
            </w:r>
          </w:p>
          <w:p w14:paraId="5E72CE2B" w14:textId="77777777" w:rsidR="003547D1" w:rsidRPr="007F1D22" w:rsidRDefault="00000000">
            <w:pPr>
              <w:keepLines/>
              <w:widowControl/>
              <w:pBdr>
                <w:top w:val="nil"/>
                <w:left w:val="nil"/>
                <w:bottom w:val="nil"/>
                <w:right w:val="nil"/>
                <w:between w:val="nil"/>
              </w:pBdr>
              <w:spacing w:line="276" w:lineRule="auto"/>
              <w:rPr>
                <w:color w:val="000000"/>
                <w:sz w:val="18"/>
                <w:szCs w:val="18"/>
              </w:rPr>
            </w:pPr>
            <w:r w:rsidRPr="007F1D22">
              <w:rPr>
                <w:color w:val="000000"/>
                <w:sz w:val="18"/>
                <w:szCs w:val="18"/>
              </w:rPr>
              <w:t xml:space="preserve"> </w:t>
            </w:r>
            <w:r w:rsidRPr="007F1D22">
              <w:rPr>
                <w:color w:val="000000"/>
                <w:sz w:val="18"/>
                <w:szCs w:val="18"/>
              </w:rPr>
              <w:br/>
            </w:r>
          </w:p>
          <w:p w14:paraId="755C2128" w14:textId="77777777" w:rsidR="003547D1" w:rsidRPr="007F1D22" w:rsidRDefault="003547D1">
            <w:pPr>
              <w:keepLines/>
              <w:widowControl/>
              <w:pBdr>
                <w:top w:val="nil"/>
                <w:left w:val="nil"/>
                <w:bottom w:val="nil"/>
                <w:right w:val="nil"/>
                <w:between w:val="nil"/>
              </w:pBdr>
              <w:spacing w:line="276" w:lineRule="auto"/>
              <w:rPr>
                <w:color w:val="000000"/>
                <w:sz w:val="18"/>
                <w:szCs w:val="18"/>
              </w:rPr>
            </w:pPr>
          </w:p>
        </w:tc>
        <w:tc>
          <w:tcPr>
            <w:tcW w:w="4710" w:type="dxa"/>
          </w:tcPr>
          <w:p w14:paraId="6A70FE0E" w14:textId="65A78ED1" w:rsidR="003547D1" w:rsidRPr="007F1D22" w:rsidRDefault="00000000">
            <w:pPr>
              <w:keepLines/>
              <w:widowControl/>
              <w:pBdr>
                <w:top w:val="nil"/>
                <w:left w:val="nil"/>
                <w:bottom w:val="nil"/>
                <w:right w:val="nil"/>
                <w:between w:val="nil"/>
              </w:pBdr>
              <w:spacing w:line="276" w:lineRule="auto"/>
              <w:rPr>
                <w:color w:val="000000"/>
                <w:sz w:val="18"/>
                <w:szCs w:val="18"/>
              </w:rPr>
            </w:pPr>
            <w:r w:rsidRPr="007F1D22">
              <w:rPr>
                <w:color w:val="000000"/>
                <w:sz w:val="18"/>
                <w:szCs w:val="18"/>
              </w:rPr>
              <w:t>For invest</w:t>
            </w:r>
            <w:r w:rsidRPr="007F1D22">
              <w:rPr>
                <w:sz w:val="18"/>
                <w:szCs w:val="18"/>
              </w:rPr>
              <w:t>or-owned utilities, a</w:t>
            </w:r>
            <w:r w:rsidRPr="007F1D22">
              <w:rPr>
                <w:color w:val="000000"/>
                <w:sz w:val="18"/>
                <w:szCs w:val="18"/>
              </w:rPr>
              <w:t xml:space="preserve"> CPCN </w:t>
            </w:r>
            <w:r w:rsidRPr="007F1D22">
              <w:rPr>
                <w:sz w:val="18"/>
                <w:szCs w:val="18"/>
              </w:rPr>
              <w:t>functions as</w:t>
            </w:r>
            <w:r w:rsidRPr="007F1D22">
              <w:rPr>
                <w:color w:val="000000"/>
                <w:sz w:val="18"/>
                <w:szCs w:val="18"/>
              </w:rPr>
              <w:t xml:space="preserve"> a pre-approval of investments</w:t>
            </w:r>
            <w:r w:rsidRPr="007F1D22">
              <w:rPr>
                <w:sz w:val="18"/>
                <w:szCs w:val="18"/>
              </w:rPr>
              <w:t>.</w:t>
            </w:r>
            <w:r w:rsidRPr="007F1D22">
              <w:rPr>
                <w:color w:val="000000"/>
                <w:sz w:val="18"/>
                <w:szCs w:val="18"/>
              </w:rPr>
              <w:t xml:space="preserve"> </w:t>
            </w:r>
            <w:r w:rsidRPr="007F1D22">
              <w:rPr>
                <w:sz w:val="18"/>
                <w:szCs w:val="18"/>
              </w:rPr>
              <w:t>Early research on this issue by the National Regulatory Research Institute argued that investment pre-approval</w:t>
            </w:r>
            <w:r w:rsidR="0027433F">
              <w:rPr>
                <w:sz w:val="18"/>
                <w:szCs w:val="18"/>
              </w:rPr>
              <w:t xml:space="preserve"> </w:t>
            </w:r>
            <w:r w:rsidRPr="007F1D22">
              <w:rPr>
                <w:color w:val="000000"/>
                <w:sz w:val="18"/>
                <w:szCs w:val="18"/>
              </w:rPr>
              <w:t>“might bolster investor confidence because preapproval might lessen the probability that plants would be excluded from the rate base as excess capacity (or for other reasons) and</w:t>
            </w:r>
          </w:p>
          <w:p w14:paraId="0BCF48F7" w14:textId="77777777" w:rsidR="003547D1" w:rsidRPr="007F1D22" w:rsidRDefault="00000000">
            <w:pPr>
              <w:keepLines/>
              <w:widowControl/>
              <w:pBdr>
                <w:top w:val="nil"/>
                <w:left w:val="nil"/>
                <w:bottom w:val="nil"/>
                <w:right w:val="nil"/>
                <w:between w:val="nil"/>
              </w:pBdr>
              <w:spacing w:line="276" w:lineRule="auto"/>
              <w:rPr>
                <w:sz w:val="18"/>
                <w:szCs w:val="18"/>
              </w:rPr>
            </w:pPr>
            <w:r w:rsidRPr="007F1D22">
              <w:rPr>
                <w:color w:val="000000"/>
                <w:sz w:val="18"/>
                <w:szCs w:val="18"/>
              </w:rPr>
              <w:t xml:space="preserve">that the expenses </w:t>
            </w:r>
            <w:r w:rsidRPr="007F1D22">
              <w:rPr>
                <w:sz w:val="18"/>
                <w:szCs w:val="18"/>
              </w:rPr>
              <w:t>of the cancelled</w:t>
            </w:r>
            <w:r w:rsidRPr="007F1D22">
              <w:rPr>
                <w:color w:val="000000"/>
                <w:sz w:val="18"/>
                <w:szCs w:val="18"/>
              </w:rPr>
              <w:t xml:space="preserve"> plant would not be amortized.”</w:t>
            </w:r>
            <w:r w:rsidRPr="007F1D22">
              <w:rPr>
                <w:color w:val="000000"/>
                <w:sz w:val="18"/>
                <w:szCs w:val="18"/>
                <w:vertAlign w:val="superscript"/>
              </w:rPr>
              <w:footnoteReference w:id="9"/>
            </w:r>
            <w:r w:rsidRPr="007F1D22">
              <w:rPr>
                <w:color w:val="000000"/>
                <w:sz w:val="18"/>
                <w:szCs w:val="18"/>
              </w:rPr>
              <w:br/>
            </w:r>
            <w:r w:rsidRPr="007F1D22">
              <w:rPr>
                <w:color w:val="000000"/>
                <w:sz w:val="18"/>
                <w:szCs w:val="18"/>
              </w:rPr>
              <w:br/>
              <w:t xml:space="preserve">A critical factor to consider as part of a CPCN proceeding is the question of need. </w:t>
            </w:r>
            <w:r w:rsidRPr="007F1D22">
              <w:rPr>
                <w:sz w:val="18"/>
                <w:szCs w:val="18"/>
              </w:rPr>
              <w:t>Utilities generally rely on load forecasting and modeling produced during integrated resource planning proceedings (IRPs) to establish need</w:t>
            </w:r>
            <w:r w:rsidRPr="007F1D22">
              <w:rPr>
                <w:color w:val="000000"/>
                <w:sz w:val="18"/>
                <w:szCs w:val="18"/>
              </w:rPr>
              <w:t xml:space="preserve">. IRPs in Virginia are critical planning documents that, although </w:t>
            </w:r>
            <w:r w:rsidRPr="007F1D22">
              <w:rPr>
                <w:sz w:val="18"/>
                <w:szCs w:val="18"/>
              </w:rPr>
              <w:t xml:space="preserve">they </w:t>
            </w:r>
            <w:r w:rsidRPr="007F1D22">
              <w:rPr>
                <w:color w:val="000000"/>
                <w:sz w:val="18"/>
                <w:szCs w:val="18"/>
              </w:rPr>
              <w:t>do not approve specific projects, serve as the basis to show why specific investments are needed. I</w:t>
            </w:r>
            <w:r w:rsidRPr="007F1D22">
              <w:rPr>
                <w:sz w:val="18"/>
                <w:szCs w:val="18"/>
              </w:rPr>
              <w:t xml:space="preserve">RPs are supposed to outline a least-cost overall path to comply with existing law that considers and weighs all alternative resources. </w:t>
            </w:r>
            <w:r w:rsidRPr="007F1D22">
              <w:rPr>
                <w:color w:val="000000"/>
                <w:sz w:val="18"/>
                <w:szCs w:val="18"/>
              </w:rPr>
              <w:t xml:space="preserve">However, there is </w:t>
            </w:r>
            <w:r w:rsidRPr="007F1D22">
              <w:rPr>
                <w:sz w:val="18"/>
                <w:szCs w:val="18"/>
              </w:rPr>
              <w:t xml:space="preserve">no clear </w:t>
            </w:r>
            <w:r w:rsidRPr="007F1D22">
              <w:rPr>
                <w:color w:val="000000"/>
                <w:sz w:val="18"/>
                <w:szCs w:val="18"/>
              </w:rPr>
              <w:t xml:space="preserve">connection in Virginia between the IRP results and CPCNs for specific projects. For example, a utility could move </w:t>
            </w:r>
            <w:r w:rsidRPr="007F1D22">
              <w:rPr>
                <w:sz w:val="18"/>
                <w:szCs w:val="18"/>
              </w:rPr>
              <w:t>forward</w:t>
            </w:r>
            <w:r w:rsidRPr="007F1D22">
              <w:rPr>
                <w:color w:val="000000"/>
                <w:sz w:val="18"/>
                <w:szCs w:val="18"/>
              </w:rPr>
              <w:t xml:space="preserve"> with a CPCN request even though the general planning document has not been approved by the Commission. </w:t>
            </w:r>
            <w:r w:rsidRPr="007F1D22">
              <w:rPr>
                <w:sz w:val="18"/>
                <w:szCs w:val="18"/>
              </w:rPr>
              <w:t xml:space="preserve">Thus, utility CPCN petitions do not necessarily follow a Commission-approved and stakeholder-vetted least-cost resource acquisition plan. </w:t>
            </w:r>
          </w:p>
          <w:p w14:paraId="2A2ED218" w14:textId="77777777" w:rsidR="003547D1" w:rsidRPr="007F1D22" w:rsidRDefault="00000000">
            <w:pPr>
              <w:keepLines/>
              <w:widowControl/>
              <w:pBdr>
                <w:top w:val="nil"/>
                <w:left w:val="nil"/>
                <w:bottom w:val="nil"/>
                <w:right w:val="nil"/>
                <w:between w:val="nil"/>
              </w:pBdr>
              <w:spacing w:line="276" w:lineRule="auto"/>
              <w:rPr>
                <w:sz w:val="18"/>
                <w:szCs w:val="18"/>
              </w:rPr>
            </w:pPr>
            <w:r w:rsidRPr="007F1D22">
              <w:rPr>
                <w:sz w:val="18"/>
                <w:szCs w:val="18"/>
              </w:rPr>
              <w:br/>
              <w:t xml:space="preserve">This lack of connection between careful consideration of least-cost alternative options and resource acquisition harms affordability and undermines certainty about the pertinence and need of the utility's proposed investments. </w:t>
            </w:r>
            <w:r w:rsidRPr="007F1D22">
              <w:rPr>
                <w:sz w:val="18"/>
                <w:szCs w:val="18"/>
              </w:rPr>
              <w:br/>
            </w:r>
          </w:p>
          <w:p w14:paraId="613EBC8E" w14:textId="77777777" w:rsidR="003547D1" w:rsidRPr="007F1D22" w:rsidRDefault="00000000">
            <w:pPr>
              <w:keepLines/>
              <w:widowControl/>
              <w:pBdr>
                <w:top w:val="nil"/>
                <w:left w:val="nil"/>
                <w:bottom w:val="nil"/>
                <w:right w:val="nil"/>
                <w:between w:val="nil"/>
              </w:pBdr>
              <w:spacing w:line="276" w:lineRule="auto"/>
              <w:rPr>
                <w:sz w:val="18"/>
                <w:szCs w:val="18"/>
              </w:rPr>
            </w:pPr>
            <w:r w:rsidRPr="007F1D22">
              <w:rPr>
                <w:sz w:val="18"/>
                <w:szCs w:val="18"/>
              </w:rPr>
              <w:t xml:space="preserve">Although each CPCN proceeding considers the need for specific resources, the process lacks a holistic analysis of system alternatives. </w:t>
            </w:r>
          </w:p>
          <w:p w14:paraId="3ED48B9F" w14:textId="77777777" w:rsidR="003547D1" w:rsidRPr="007F1D22" w:rsidRDefault="003547D1">
            <w:pPr>
              <w:keepLines/>
              <w:widowControl/>
              <w:pBdr>
                <w:top w:val="nil"/>
                <w:left w:val="nil"/>
                <w:bottom w:val="nil"/>
                <w:right w:val="nil"/>
                <w:between w:val="nil"/>
              </w:pBdr>
              <w:spacing w:line="276" w:lineRule="auto"/>
              <w:rPr>
                <w:color w:val="000000"/>
                <w:sz w:val="18"/>
                <w:szCs w:val="18"/>
              </w:rPr>
            </w:pPr>
          </w:p>
        </w:tc>
      </w:tr>
      <w:tr w:rsidR="003547D1" w:rsidRPr="007F1D22" w14:paraId="6451E23A" w14:textId="77777777">
        <w:trPr>
          <w:cantSplit/>
          <w:trHeight w:val="491"/>
        </w:trPr>
        <w:tc>
          <w:tcPr>
            <w:tcW w:w="1950" w:type="dxa"/>
            <w:vMerge/>
            <w:vAlign w:val="center"/>
          </w:tcPr>
          <w:p w14:paraId="5D93A264" w14:textId="77777777" w:rsidR="003547D1" w:rsidRPr="007F1D22" w:rsidRDefault="003547D1">
            <w:pPr>
              <w:pBdr>
                <w:top w:val="nil"/>
                <w:left w:val="nil"/>
                <w:bottom w:val="nil"/>
                <w:right w:val="nil"/>
                <w:between w:val="nil"/>
              </w:pBdr>
              <w:spacing w:line="276" w:lineRule="auto"/>
              <w:rPr>
                <w:color w:val="000000"/>
                <w:sz w:val="18"/>
                <w:szCs w:val="18"/>
              </w:rPr>
            </w:pPr>
          </w:p>
        </w:tc>
        <w:tc>
          <w:tcPr>
            <w:tcW w:w="1695" w:type="dxa"/>
          </w:tcPr>
          <w:p w14:paraId="03C9C873" w14:textId="77777777" w:rsidR="003547D1" w:rsidRPr="007F1D22" w:rsidRDefault="00000000">
            <w:pPr>
              <w:keepLines/>
              <w:widowControl/>
              <w:pBdr>
                <w:top w:val="nil"/>
                <w:left w:val="nil"/>
                <w:bottom w:val="nil"/>
                <w:right w:val="nil"/>
                <w:between w:val="nil"/>
              </w:pBdr>
              <w:spacing w:line="207" w:lineRule="auto"/>
              <w:ind w:left="104"/>
              <w:rPr>
                <w:color w:val="000000"/>
                <w:sz w:val="18"/>
                <w:szCs w:val="18"/>
              </w:rPr>
            </w:pPr>
            <w:r w:rsidRPr="007F1D22">
              <w:rPr>
                <w:color w:val="000000"/>
                <w:sz w:val="18"/>
                <w:szCs w:val="18"/>
              </w:rPr>
              <w:t>Rate design (including universal service fee)</w:t>
            </w:r>
          </w:p>
        </w:tc>
        <w:tc>
          <w:tcPr>
            <w:tcW w:w="1080" w:type="dxa"/>
            <w:gridSpan w:val="2"/>
          </w:tcPr>
          <w:p w14:paraId="6F1B8964" w14:textId="77777777" w:rsidR="003547D1" w:rsidRPr="007F1D22" w:rsidRDefault="003547D1">
            <w:pPr>
              <w:keepLines/>
              <w:widowControl/>
              <w:pBdr>
                <w:top w:val="nil"/>
                <w:left w:val="nil"/>
                <w:bottom w:val="nil"/>
                <w:right w:val="nil"/>
                <w:between w:val="nil"/>
              </w:pBdr>
              <w:rPr>
                <w:rFonts w:ascii="Times New Roman" w:eastAsia="Times New Roman" w:hAnsi="Times New Roman" w:cs="Times New Roman"/>
                <w:color w:val="000000"/>
                <w:sz w:val="18"/>
                <w:szCs w:val="18"/>
              </w:rPr>
            </w:pPr>
          </w:p>
        </w:tc>
        <w:tc>
          <w:tcPr>
            <w:tcW w:w="3840" w:type="dxa"/>
          </w:tcPr>
          <w:p w14:paraId="0E72A237" w14:textId="77777777" w:rsidR="003547D1" w:rsidRPr="007F1D22" w:rsidRDefault="003547D1">
            <w:pPr>
              <w:keepLines/>
              <w:widowControl/>
              <w:pBdr>
                <w:top w:val="nil"/>
                <w:left w:val="nil"/>
                <w:bottom w:val="nil"/>
                <w:right w:val="nil"/>
                <w:between w:val="nil"/>
              </w:pBdr>
              <w:spacing w:line="276" w:lineRule="auto"/>
              <w:rPr>
                <w:color w:val="000000"/>
                <w:sz w:val="18"/>
                <w:szCs w:val="18"/>
              </w:rPr>
            </w:pPr>
          </w:p>
        </w:tc>
        <w:tc>
          <w:tcPr>
            <w:tcW w:w="4710" w:type="dxa"/>
          </w:tcPr>
          <w:p w14:paraId="5EC5C636" w14:textId="77777777" w:rsidR="003547D1" w:rsidRPr="007F1D22" w:rsidRDefault="003547D1">
            <w:pPr>
              <w:keepLines/>
              <w:widowControl/>
              <w:pBdr>
                <w:top w:val="nil"/>
                <w:left w:val="nil"/>
                <w:bottom w:val="nil"/>
                <w:right w:val="nil"/>
                <w:between w:val="nil"/>
              </w:pBdr>
              <w:spacing w:line="276" w:lineRule="auto"/>
              <w:rPr>
                <w:color w:val="000000"/>
                <w:sz w:val="18"/>
                <w:szCs w:val="18"/>
              </w:rPr>
            </w:pPr>
          </w:p>
        </w:tc>
      </w:tr>
      <w:tr w:rsidR="003547D1" w:rsidRPr="007F1D22" w14:paraId="09701A48" w14:textId="77777777">
        <w:trPr>
          <w:cantSplit/>
        </w:trPr>
        <w:tc>
          <w:tcPr>
            <w:tcW w:w="1950" w:type="dxa"/>
            <w:vMerge/>
            <w:vAlign w:val="center"/>
          </w:tcPr>
          <w:p w14:paraId="3460B864" w14:textId="77777777" w:rsidR="003547D1" w:rsidRPr="007F1D22" w:rsidRDefault="003547D1">
            <w:pPr>
              <w:pBdr>
                <w:top w:val="nil"/>
                <w:left w:val="nil"/>
                <w:bottom w:val="nil"/>
                <w:right w:val="nil"/>
                <w:between w:val="nil"/>
              </w:pBdr>
              <w:spacing w:line="276" w:lineRule="auto"/>
              <w:rPr>
                <w:color w:val="000000"/>
                <w:sz w:val="18"/>
                <w:szCs w:val="18"/>
              </w:rPr>
            </w:pPr>
          </w:p>
        </w:tc>
        <w:tc>
          <w:tcPr>
            <w:tcW w:w="1695" w:type="dxa"/>
          </w:tcPr>
          <w:p w14:paraId="7D8EAEB0" w14:textId="77777777" w:rsidR="003547D1" w:rsidRPr="007F1D22" w:rsidRDefault="00000000">
            <w:pPr>
              <w:keepLines/>
              <w:widowControl/>
              <w:pBdr>
                <w:top w:val="nil"/>
                <w:left w:val="nil"/>
                <w:bottom w:val="nil"/>
                <w:right w:val="nil"/>
                <w:between w:val="nil"/>
              </w:pBdr>
              <w:spacing w:line="207" w:lineRule="auto"/>
              <w:ind w:left="104"/>
              <w:rPr>
                <w:color w:val="000000"/>
                <w:sz w:val="18"/>
                <w:szCs w:val="18"/>
              </w:rPr>
            </w:pPr>
            <w:r w:rsidRPr="007F1D22">
              <w:rPr>
                <w:color w:val="000000"/>
                <w:sz w:val="18"/>
                <w:szCs w:val="18"/>
              </w:rPr>
              <w:t>Pilot programs</w:t>
            </w:r>
          </w:p>
        </w:tc>
        <w:tc>
          <w:tcPr>
            <w:tcW w:w="1080" w:type="dxa"/>
            <w:gridSpan w:val="2"/>
          </w:tcPr>
          <w:p w14:paraId="65D09863" w14:textId="77777777" w:rsidR="003547D1" w:rsidRPr="007F1D22" w:rsidRDefault="003547D1">
            <w:pPr>
              <w:keepLines/>
              <w:widowControl/>
              <w:pBdr>
                <w:top w:val="nil"/>
                <w:left w:val="nil"/>
                <w:bottom w:val="nil"/>
                <w:right w:val="nil"/>
                <w:between w:val="nil"/>
              </w:pBdr>
              <w:rPr>
                <w:rFonts w:ascii="Times New Roman" w:eastAsia="Times New Roman" w:hAnsi="Times New Roman" w:cs="Times New Roman"/>
                <w:color w:val="000000"/>
                <w:sz w:val="18"/>
                <w:szCs w:val="18"/>
              </w:rPr>
            </w:pPr>
          </w:p>
        </w:tc>
        <w:tc>
          <w:tcPr>
            <w:tcW w:w="3840" w:type="dxa"/>
          </w:tcPr>
          <w:p w14:paraId="0E72F0F3" w14:textId="77777777" w:rsidR="003547D1" w:rsidRPr="007F1D22" w:rsidRDefault="003547D1">
            <w:pPr>
              <w:keepLines/>
              <w:widowControl/>
              <w:pBdr>
                <w:top w:val="nil"/>
                <w:left w:val="nil"/>
                <w:bottom w:val="nil"/>
                <w:right w:val="nil"/>
                <w:between w:val="nil"/>
              </w:pBdr>
              <w:spacing w:line="276" w:lineRule="auto"/>
              <w:rPr>
                <w:color w:val="000000"/>
                <w:sz w:val="18"/>
                <w:szCs w:val="18"/>
              </w:rPr>
            </w:pPr>
          </w:p>
        </w:tc>
        <w:tc>
          <w:tcPr>
            <w:tcW w:w="4710" w:type="dxa"/>
          </w:tcPr>
          <w:p w14:paraId="6A924BBA" w14:textId="77777777" w:rsidR="003547D1" w:rsidRPr="007F1D22" w:rsidRDefault="003547D1">
            <w:pPr>
              <w:keepLines/>
              <w:widowControl/>
              <w:pBdr>
                <w:top w:val="nil"/>
                <w:left w:val="nil"/>
                <w:bottom w:val="nil"/>
                <w:right w:val="nil"/>
                <w:between w:val="nil"/>
              </w:pBdr>
              <w:spacing w:line="276" w:lineRule="auto"/>
              <w:rPr>
                <w:color w:val="000000"/>
                <w:sz w:val="18"/>
                <w:szCs w:val="18"/>
              </w:rPr>
            </w:pPr>
          </w:p>
        </w:tc>
      </w:tr>
      <w:tr w:rsidR="003547D1" w:rsidRPr="007F1D22" w14:paraId="67314219" w14:textId="77777777">
        <w:trPr>
          <w:cantSplit/>
          <w:trHeight w:val="527"/>
        </w:trPr>
        <w:tc>
          <w:tcPr>
            <w:tcW w:w="1950" w:type="dxa"/>
            <w:vAlign w:val="center"/>
          </w:tcPr>
          <w:p w14:paraId="2CACEB5D" w14:textId="77777777" w:rsidR="003547D1" w:rsidRPr="007F1D22" w:rsidRDefault="003547D1">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695" w:type="dxa"/>
          </w:tcPr>
          <w:p w14:paraId="00CE12E6" w14:textId="77777777" w:rsidR="003547D1" w:rsidRPr="007F1D22" w:rsidRDefault="00000000">
            <w:pPr>
              <w:keepLines/>
              <w:widowControl/>
              <w:pBdr>
                <w:top w:val="nil"/>
                <w:left w:val="nil"/>
                <w:bottom w:val="nil"/>
                <w:right w:val="nil"/>
                <w:between w:val="nil"/>
              </w:pBdr>
              <w:spacing w:line="207" w:lineRule="auto"/>
              <w:ind w:left="104"/>
              <w:rPr>
                <w:color w:val="000000"/>
                <w:sz w:val="18"/>
                <w:szCs w:val="18"/>
              </w:rPr>
            </w:pPr>
            <w:r w:rsidRPr="007F1D22">
              <w:rPr>
                <w:sz w:val="18"/>
                <w:szCs w:val="18"/>
              </w:rPr>
              <w:t xml:space="preserve">Limits to </w:t>
            </w:r>
            <w:proofErr w:type="gramStart"/>
            <w:r w:rsidRPr="007F1D22">
              <w:rPr>
                <w:sz w:val="18"/>
                <w:szCs w:val="18"/>
              </w:rPr>
              <w:t>third-party</w:t>
            </w:r>
            <w:proofErr w:type="gramEnd"/>
            <w:r w:rsidRPr="007F1D22">
              <w:rPr>
                <w:sz w:val="18"/>
                <w:szCs w:val="18"/>
              </w:rPr>
              <w:t>-owned generation</w:t>
            </w:r>
          </w:p>
        </w:tc>
        <w:tc>
          <w:tcPr>
            <w:tcW w:w="1080" w:type="dxa"/>
            <w:gridSpan w:val="2"/>
          </w:tcPr>
          <w:p w14:paraId="7CB7B94C" w14:textId="03EB8E41" w:rsidR="003547D1" w:rsidRPr="007F1D22" w:rsidRDefault="0027433F">
            <w:pPr>
              <w:keepLines/>
              <w:widowControl/>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 xml:space="preserve">       </w:t>
            </w:r>
            <w:r w:rsidRPr="007F1D22">
              <w:rPr>
                <w:rFonts w:ascii="Times New Roman" w:eastAsia="Times New Roman" w:hAnsi="Times New Roman" w:cs="Times New Roman"/>
                <w:b/>
                <w:sz w:val="18"/>
                <w:szCs w:val="18"/>
              </w:rPr>
              <w:t>-</w:t>
            </w:r>
          </w:p>
        </w:tc>
        <w:tc>
          <w:tcPr>
            <w:tcW w:w="3840" w:type="dxa"/>
          </w:tcPr>
          <w:p w14:paraId="2F4C9E36" w14:textId="297BA624" w:rsidR="003547D1" w:rsidRPr="007F1D22" w:rsidRDefault="00000000">
            <w:pPr>
              <w:keepLines/>
              <w:widowControl/>
              <w:pBdr>
                <w:top w:val="nil"/>
                <w:left w:val="nil"/>
                <w:bottom w:val="nil"/>
                <w:right w:val="nil"/>
                <w:between w:val="nil"/>
              </w:pBdr>
              <w:spacing w:line="276" w:lineRule="auto"/>
              <w:rPr>
                <w:color w:val="000000"/>
                <w:sz w:val="18"/>
                <w:szCs w:val="18"/>
              </w:rPr>
            </w:pPr>
            <w:r w:rsidRPr="007F1D22">
              <w:rPr>
                <w:color w:val="000000"/>
                <w:sz w:val="18"/>
                <w:szCs w:val="18"/>
              </w:rPr>
              <w:t>Current statute limits the amount of third-party owned generation allowed to comply with Virginia</w:t>
            </w:r>
            <w:r w:rsidRPr="007F1D22">
              <w:rPr>
                <w:sz w:val="18"/>
                <w:szCs w:val="18"/>
              </w:rPr>
              <w:t xml:space="preserve">’s </w:t>
            </w:r>
            <w:r w:rsidRPr="007F1D22">
              <w:rPr>
                <w:color w:val="000000"/>
                <w:sz w:val="18"/>
                <w:szCs w:val="18"/>
              </w:rPr>
              <w:t>clean energy goals at 35%.</w:t>
            </w:r>
            <w:r w:rsidR="0027433F">
              <w:rPr>
                <w:color w:val="000000"/>
                <w:sz w:val="18"/>
                <w:szCs w:val="18"/>
              </w:rPr>
              <w:t xml:space="preserve"> </w:t>
            </w:r>
            <w:r w:rsidR="002F73E5">
              <w:rPr>
                <w:color w:val="000000"/>
                <w:sz w:val="18"/>
                <w:szCs w:val="18"/>
              </w:rPr>
              <w:t xml:space="preserve">This limit disincentivizes affordability since it prevents low-cost projects from being part of a utility’s resource mix. </w:t>
            </w:r>
          </w:p>
          <w:p w14:paraId="295E3763" w14:textId="77777777" w:rsidR="003547D1" w:rsidRPr="007F1D22" w:rsidRDefault="003547D1">
            <w:pPr>
              <w:keepLines/>
              <w:widowControl/>
              <w:pBdr>
                <w:top w:val="nil"/>
                <w:left w:val="nil"/>
                <w:bottom w:val="nil"/>
                <w:right w:val="nil"/>
                <w:between w:val="nil"/>
              </w:pBdr>
              <w:spacing w:line="276" w:lineRule="auto"/>
              <w:rPr>
                <w:color w:val="000000"/>
                <w:sz w:val="18"/>
                <w:szCs w:val="18"/>
              </w:rPr>
            </w:pPr>
          </w:p>
          <w:p w14:paraId="1E7FAC88" w14:textId="77777777" w:rsidR="003547D1" w:rsidRPr="007F1D22" w:rsidRDefault="003547D1">
            <w:pPr>
              <w:keepLines/>
              <w:widowControl/>
              <w:pBdr>
                <w:top w:val="nil"/>
                <w:left w:val="nil"/>
                <w:bottom w:val="nil"/>
                <w:right w:val="nil"/>
                <w:between w:val="nil"/>
              </w:pBdr>
              <w:spacing w:line="276" w:lineRule="auto"/>
              <w:rPr>
                <w:color w:val="000000"/>
                <w:sz w:val="18"/>
                <w:szCs w:val="18"/>
              </w:rPr>
            </w:pPr>
          </w:p>
        </w:tc>
        <w:tc>
          <w:tcPr>
            <w:tcW w:w="4710" w:type="dxa"/>
          </w:tcPr>
          <w:p w14:paraId="230A8F89" w14:textId="160365C6" w:rsidR="003547D1" w:rsidRPr="007F1D22" w:rsidRDefault="00000000">
            <w:pPr>
              <w:keepLines/>
              <w:widowControl/>
              <w:pBdr>
                <w:top w:val="nil"/>
                <w:left w:val="nil"/>
                <w:bottom w:val="nil"/>
                <w:right w:val="nil"/>
                <w:between w:val="nil"/>
              </w:pBdr>
              <w:spacing w:line="276" w:lineRule="auto"/>
              <w:rPr>
                <w:color w:val="000000"/>
                <w:sz w:val="18"/>
                <w:szCs w:val="18"/>
              </w:rPr>
            </w:pPr>
            <w:r w:rsidRPr="007F1D22">
              <w:rPr>
                <w:color w:val="000000"/>
                <w:sz w:val="18"/>
                <w:szCs w:val="18"/>
              </w:rPr>
              <w:t xml:space="preserve">Ratepayers should be </w:t>
            </w:r>
            <w:r w:rsidRPr="007F1D22">
              <w:rPr>
                <w:sz w:val="18"/>
                <w:szCs w:val="18"/>
              </w:rPr>
              <w:t xml:space="preserve">allowed to </w:t>
            </w:r>
            <w:r w:rsidRPr="007F1D22">
              <w:rPr>
                <w:color w:val="000000"/>
                <w:sz w:val="18"/>
                <w:szCs w:val="18"/>
              </w:rPr>
              <w:t>benefit from available low-cost</w:t>
            </w:r>
            <w:r w:rsidRPr="007F1D22">
              <w:rPr>
                <w:sz w:val="18"/>
                <w:szCs w:val="18"/>
              </w:rPr>
              <w:t>,</w:t>
            </w:r>
            <w:r w:rsidRPr="007F1D22">
              <w:rPr>
                <w:color w:val="000000"/>
                <w:sz w:val="18"/>
                <w:szCs w:val="18"/>
              </w:rPr>
              <w:t xml:space="preserve"> qualified </w:t>
            </w:r>
            <w:proofErr w:type="gramStart"/>
            <w:r w:rsidRPr="007F1D22">
              <w:rPr>
                <w:sz w:val="18"/>
                <w:szCs w:val="18"/>
              </w:rPr>
              <w:t>third-party</w:t>
            </w:r>
            <w:proofErr w:type="gramEnd"/>
            <w:r w:rsidRPr="007F1D22">
              <w:rPr>
                <w:sz w:val="18"/>
                <w:szCs w:val="18"/>
              </w:rPr>
              <w:t>-owned</w:t>
            </w:r>
            <w:r w:rsidRPr="007F1D22">
              <w:rPr>
                <w:color w:val="000000"/>
                <w:sz w:val="18"/>
                <w:szCs w:val="18"/>
              </w:rPr>
              <w:t xml:space="preserve"> projects to the maximum extent possible. </w:t>
            </w:r>
            <w:r w:rsidRPr="007F1D22">
              <w:rPr>
                <w:sz w:val="18"/>
                <w:szCs w:val="18"/>
              </w:rPr>
              <w:t xml:space="preserve">The current 35% limit is a barrier to this cost-saving opportunity. </w:t>
            </w:r>
            <w:r w:rsidRPr="007F1D22">
              <w:rPr>
                <w:color w:val="000000"/>
                <w:sz w:val="18"/>
                <w:szCs w:val="18"/>
              </w:rPr>
              <w:t xml:space="preserve">For example, during the 2022 </w:t>
            </w:r>
            <w:r w:rsidRPr="007F1D22">
              <w:rPr>
                <w:sz w:val="18"/>
                <w:szCs w:val="18"/>
              </w:rPr>
              <w:t>r</w:t>
            </w:r>
            <w:r w:rsidRPr="007F1D22">
              <w:rPr>
                <w:color w:val="000000"/>
                <w:sz w:val="18"/>
                <w:szCs w:val="18"/>
              </w:rPr>
              <w:t xml:space="preserve">enewable </w:t>
            </w:r>
            <w:r w:rsidRPr="007F1D22">
              <w:rPr>
                <w:sz w:val="18"/>
                <w:szCs w:val="18"/>
              </w:rPr>
              <w:t>p</w:t>
            </w:r>
            <w:r w:rsidRPr="007F1D22">
              <w:rPr>
                <w:color w:val="000000"/>
                <w:sz w:val="18"/>
                <w:szCs w:val="18"/>
              </w:rPr>
              <w:t xml:space="preserve">ortfolio </w:t>
            </w:r>
            <w:r w:rsidRPr="007F1D22">
              <w:rPr>
                <w:sz w:val="18"/>
                <w:szCs w:val="18"/>
              </w:rPr>
              <w:t>s</w:t>
            </w:r>
            <w:r w:rsidRPr="007F1D22">
              <w:rPr>
                <w:color w:val="000000"/>
                <w:sz w:val="18"/>
                <w:szCs w:val="18"/>
              </w:rPr>
              <w:t>tandard</w:t>
            </w:r>
            <w:r w:rsidRPr="007F1D22">
              <w:rPr>
                <w:sz w:val="18"/>
                <w:szCs w:val="18"/>
              </w:rPr>
              <w:t xml:space="preserve"> proceeding for Dominion Energy</w:t>
            </w:r>
            <w:r w:rsidRPr="007F1D22">
              <w:rPr>
                <w:color w:val="000000"/>
                <w:sz w:val="18"/>
                <w:szCs w:val="18"/>
              </w:rPr>
              <w:t xml:space="preserve">, the </w:t>
            </w:r>
            <w:r w:rsidRPr="007F1D22">
              <w:rPr>
                <w:sz w:val="18"/>
                <w:szCs w:val="18"/>
              </w:rPr>
              <w:t>O</w:t>
            </w:r>
            <w:r w:rsidRPr="007F1D22">
              <w:rPr>
                <w:color w:val="000000"/>
                <w:sz w:val="18"/>
                <w:szCs w:val="18"/>
              </w:rPr>
              <w:t>ffice of the Attorney General argued that qualified bids from third-party owned projects were 2 to 3 times less exp</w:t>
            </w:r>
            <w:r w:rsidRPr="007F1D22">
              <w:rPr>
                <w:sz w:val="18"/>
                <w:szCs w:val="18"/>
              </w:rPr>
              <w:t>e</w:t>
            </w:r>
            <w:r w:rsidRPr="007F1D22">
              <w:rPr>
                <w:color w:val="000000"/>
                <w:sz w:val="18"/>
                <w:szCs w:val="18"/>
              </w:rPr>
              <w:t>nsive tha</w:t>
            </w:r>
            <w:r w:rsidRPr="007F1D22">
              <w:rPr>
                <w:sz w:val="18"/>
                <w:szCs w:val="18"/>
              </w:rPr>
              <w:t>n</w:t>
            </w:r>
            <w:r w:rsidRPr="007F1D22">
              <w:rPr>
                <w:color w:val="000000"/>
                <w:sz w:val="18"/>
                <w:szCs w:val="18"/>
              </w:rPr>
              <w:t xml:space="preserve"> utility-owned projects, and that there was not sufficient justification to reject these less </w:t>
            </w:r>
            <w:r w:rsidRPr="007F1D22">
              <w:rPr>
                <w:sz w:val="18"/>
                <w:szCs w:val="18"/>
              </w:rPr>
              <w:t>expensive</w:t>
            </w:r>
            <w:r w:rsidRPr="007F1D22">
              <w:rPr>
                <w:color w:val="000000"/>
                <w:sz w:val="18"/>
                <w:szCs w:val="18"/>
              </w:rPr>
              <w:t xml:space="preserve"> projects. The only significant barrier for the </w:t>
            </w:r>
            <w:r w:rsidRPr="007F1D22">
              <w:rPr>
                <w:sz w:val="18"/>
                <w:szCs w:val="18"/>
              </w:rPr>
              <w:t>utility</w:t>
            </w:r>
            <w:r w:rsidRPr="007F1D22">
              <w:rPr>
                <w:color w:val="000000"/>
                <w:sz w:val="18"/>
                <w:szCs w:val="18"/>
              </w:rPr>
              <w:t xml:space="preserve"> to select these projects</w:t>
            </w:r>
            <w:r w:rsidRPr="007F1D22">
              <w:rPr>
                <w:sz w:val="18"/>
                <w:szCs w:val="18"/>
              </w:rPr>
              <w:t xml:space="preserve"> </w:t>
            </w:r>
            <w:r w:rsidRPr="007F1D22">
              <w:rPr>
                <w:color w:val="000000"/>
                <w:sz w:val="18"/>
                <w:szCs w:val="18"/>
              </w:rPr>
              <w:t>was the 35% limit on third-party owned projects that exists in the code.</w:t>
            </w:r>
            <w:r w:rsidR="0027433F">
              <w:rPr>
                <w:color w:val="000000"/>
                <w:sz w:val="18"/>
                <w:szCs w:val="18"/>
              </w:rPr>
              <w:t xml:space="preserve"> </w:t>
            </w:r>
            <w:r w:rsidRPr="007F1D22">
              <w:rPr>
                <w:color w:val="000000"/>
                <w:sz w:val="18"/>
                <w:szCs w:val="18"/>
              </w:rPr>
              <w:t xml:space="preserve"> </w:t>
            </w:r>
          </w:p>
        </w:tc>
      </w:tr>
    </w:tbl>
    <w:p w14:paraId="67C1B649" w14:textId="77777777" w:rsidR="003547D1" w:rsidRPr="007F1D22" w:rsidRDefault="003547D1">
      <w:pPr>
        <w:pBdr>
          <w:top w:val="nil"/>
          <w:left w:val="nil"/>
          <w:bottom w:val="nil"/>
          <w:right w:val="nil"/>
          <w:between w:val="nil"/>
        </w:pBdr>
        <w:rPr>
          <w:color w:val="000000"/>
          <w:sz w:val="18"/>
          <w:szCs w:val="18"/>
        </w:rPr>
      </w:pPr>
    </w:p>
    <w:p w14:paraId="0D7AFC5E" w14:textId="77777777" w:rsidR="003547D1" w:rsidRPr="007F1D22" w:rsidRDefault="00000000">
      <w:pPr>
        <w:pBdr>
          <w:top w:val="nil"/>
          <w:left w:val="nil"/>
          <w:bottom w:val="nil"/>
          <w:right w:val="nil"/>
          <w:between w:val="nil"/>
        </w:pBdr>
        <w:rPr>
          <w:color w:val="000000"/>
          <w:sz w:val="18"/>
          <w:szCs w:val="18"/>
        </w:rPr>
      </w:pPr>
      <w:r w:rsidRPr="007F1D22">
        <w:rPr>
          <w:color w:val="000000"/>
          <w:sz w:val="18"/>
          <w:szCs w:val="18"/>
        </w:rPr>
        <w:t>Overall Assessment</w:t>
      </w:r>
    </w:p>
    <w:p w14:paraId="42306090" w14:textId="77777777" w:rsidR="003547D1" w:rsidRPr="007F1D22" w:rsidRDefault="003547D1">
      <w:pPr>
        <w:pBdr>
          <w:top w:val="nil"/>
          <w:left w:val="nil"/>
          <w:bottom w:val="nil"/>
          <w:right w:val="nil"/>
          <w:between w:val="nil"/>
        </w:pBdr>
        <w:rPr>
          <w:color w:val="000000"/>
          <w:sz w:val="18"/>
          <w:szCs w:val="18"/>
        </w:rPr>
      </w:pPr>
    </w:p>
    <w:tbl>
      <w:tblPr>
        <w:tblStyle w:val="a4"/>
        <w:tblW w:w="12901"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46"/>
        <w:gridCol w:w="1522"/>
        <w:gridCol w:w="7433"/>
      </w:tblGrid>
      <w:tr w:rsidR="003547D1" w:rsidRPr="007F1D22" w14:paraId="5869A554" w14:textId="77777777">
        <w:tc>
          <w:tcPr>
            <w:tcW w:w="5468" w:type="dxa"/>
            <w:gridSpan w:val="2"/>
            <w:shd w:val="clear" w:color="auto" w:fill="3B7E32"/>
          </w:tcPr>
          <w:p w14:paraId="54F559EA" w14:textId="77777777" w:rsidR="003547D1" w:rsidRPr="007F1D22" w:rsidRDefault="00000000">
            <w:pPr>
              <w:pBdr>
                <w:top w:val="nil"/>
                <w:left w:val="nil"/>
                <w:bottom w:val="nil"/>
                <w:right w:val="nil"/>
                <w:between w:val="nil"/>
              </w:pBdr>
              <w:spacing w:before="63"/>
              <w:rPr>
                <w:color w:val="000000"/>
                <w:sz w:val="18"/>
                <w:szCs w:val="18"/>
              </w:rPr>
            </w:pPr>
            <w:r w:rsidRPr="007F1D22">
              <w:rPr>
                <w:b/>
                <w:color w:val="FFFFFF"/>
                <w:sz w:val="18"/>
                <w:szCs w:val="18"/>
              </w:rPr>
              <w:t>Overall, does the existing regulatory framework support achievement of the identified outcome?</w:t>
            </w:r>
          </w:p>
        </w:tc>
        <w:tc>
          <w:tcPr>
            <w:tcW w:w="7433" w:type="dxa"/>
            <w:shd w:val="clear" w:color="auto" w:fill="3B7E32"/>
          </w:tcPr>
          <w:p w14:paraId="63874B89" w14:textId="77777777" w:rsidR="003547D1" w:rsidRPr="007F1D22" w:rsidRDefault="00000000">
            <w:pPr>
              <w:pBdr>
                <w:top w:val="nil"/>
                <w:left w:val="nil"/>
                <w:bottom w:val="nil"/>
                <w:right w:val="nil"/>
                <w:between w:val="nil"/>
              </w:pBdr>
              <w:spacing w:before="63"/>
              <w:rPr>
                <w:color w:val="000000"/>
                <w:sz w:val="18"/>
                <w:szCs w:val="18"/>
              </w:rPr>
            </w:pPr>
            <w:r w:rsidRPr="007F1D22">
              <w:rPr>
                <w:b/>
                <w:color w:val="FFFFFF"/>
                <w:sz w:val="18"/>
                <w:szCs w:val="18"/>
              </w:rPr>
              <w:t>Discussion</w:t>
            </w:r>
          </w:p>
        </w:tc>
      </w:tr>
      <w:tr w:rsidR="003547D1" w:rsidRPr="007F1D22" w14:paraId="7144324D" w14:textId="77777777">
        <w:trPr>
          <w:trHeight w:val="905"/>
        </w:trPr>
        <w:tc>
          <w:tcPr>
            <w:tcW w:w="3946" w:type="dxa"/>
          </w:tcPr>
          <w:p w14:paraId="67F86A32" w14:textId="77777777" w:rsidR="003547D1" w:rsidRPr="007F1D22" w:rsidRDefault="00000000">
            <w:pPr>
              <w:pBdr>
                <w:top w:val="nil"/>
                <w:left w:val="nil"/>
                <w:bottom w:val="nil"/>
                <w:right w:val="nil"/>
                <w:between w:val="nil"/>
              </w:pBdr>
              <w:spacing w:before="63"/>
              <w:rPr>
                <w:color w:val="000000"/>
                <w:sz w:val="18"/>
                <w:szCs w:val="18"/>
              </w:rPr>
            </w:pPr>
            <w:r w:rsidRPr="007F1D22">
              <w:rPr>
                <w:b/>
                <w:color w:val="000000"/>
                <w:sz w:val="18"/>
                <w:szCs w:val="18"/>
              </w:rPr>
              <w:t xml:space="preserve">+ (YES) </w:t>
            </w:r>
            <w:r w:rsidRPr="007F1D22">
              <w:rPr>
                <w:color w:val="000000"/>
                <w:sz w:val="18"/>
                <w:szCs w:val="18"/>
              </w:rPr>
              <w:t>incents achievement</w:t>
            </w:r>
          </w:p>
        </w:tc>
        <w:tc>
          <w:tcPr>
            <w:tcW w:w="1522" w:type="dxa"/>
          </w:tcPr>
          <w:p w14:paraId="400EE278" w14:textId="77777777" w:rsidR="003547D1" w:rsidRPr="007F1D22" w:rsidRDefault="003547D1">
            <w:pPr>
              <w:pBdr>
                <w:top w:val="nil"/>
                <w:left w:val="nil"/>
                <w:bottom w:val="nil"/>
                <w:right w:val="nil"/>
                <w:between w:val="nil"/>
              </w:pBdr>
              <w:spacing w:before="63"/>
              <w:rPr>
                <w:color w:val="000000"/>
                <w:sz w:val="18"/>
                <w:szCs w:val="18"/>
              </w:rPr>
            </w:pPr>
          </w:p>
        </w:tc>
        <w:tc>
          <w:tcPr>
            <w:tcW w:w="7433" w:type="dxa"/>
          </w:tcPr>
          <w:p w14:paraId="1612FB6D" w14:textId="77777777" w:rsidR="003547D1" w:rsidRPr="007F1D22" w:rsidRDefault="003547D1">
            <w:pPr>
              <w:pBdr>
                <w:top w:val="nil"/>
                <w:left w:val="nil"/>
                <w:bottom w:val="nil"/>
                <w:right w:val="nil"/>
                <w:between w:val="nil"/>
              </w:pBdr>
              <w:spacing w:before="63"/>
              <w:rPr>
                <w:color w:val="000000"/>
                <w:sz w:val="18"/>
                <w:szCs w:val="18"/>
              </w:rPr>
            </w:pPr>
          </w:p>
        </w:tc>
      </w:tr>
      <w:tr w:rsidR="003547D1" w:rsidRPr="007F1D22" w14:paraId="4F5B5DB0" w14:textId="77777777">
        <w:trPr>
          <w:trHeight w:val="797"/>
        </w:trPr>
        <w:tc>
          <w:tcPr>
            <w:tcW w:w="3946" w:type="dxa"/>
          </w:tcPr>
          <w:p w14:paraId="604AAC88" w14:textId="77777777" w:rsidR="003547D1" w:rsidRPr="007F1D22" w:rsidRDefault="00000000">
            <w:pPr>
              <w:pBdr>
                <w:top w:val="nil"/>
                <w:left w:val="nil"/>
                <w:bottom w:val="nil"/>
                <w:right w:val="nil"/>
                <w:between w:val="nil"/>
              </w:pBdr>
              <w:spacing w:before="63"/>
              <w:rPr>
                <w:color w:val="000000"/>
                <w:sz w:val="18"/>
                <w:szCs w:val="18"/>
              </w:rPr>
            </w:pPr>
            <w:r w:rsidRPr="007F1D22">
              <w:rPr>
                <w:b/>
                <w:color w:val="000000"/>
                <w:sz w:val="18"/>
                <w:szCs w:val="18"/>
              </w:rPr>
              <w:t>0 (NO IMPACT)</w:t>
            </w:r>
          </w:p>
        </w:tc>
        <w:tc>
          <w:tcPr>
            <w:tcW w:w="1522" w:type="dxa"/>
          </w:tcPr>
          <w:p w14:paraId="2BC9C14A" w14:textId="77777777" w:rsidR="003547D1" w:rsidRPr="007F1D22" w:rsidRDefault="003547D1">
            <w:pPr>
              <w:pBdr>
                <w:top w:val="nil"/>
                <w:left w:val="nil"/>
                <w:bottom w:val="nil"/>
                <w:right w:val="nil"/>
                <w:between w:val="nil"/>
              </w:pBdr>
              <w:spacing w:before="63"/>
              <w:rPr>
                <w:color w:val="000000"/>
                <w:sz w:val="18"/>
                <w:szCs w:val="18"/>
              </w:rPr>
            </w:pPr>
          </w:p>
        </w:tc>
        <w:tc>
          <w:tcPr>
            <w:tcW w:w="7433" w:type="dxa"/>
          </w:tcPr>
          <w:p w14:paraId="7608EC3A" w14:textId="77777777" w:rsidR="003547D1" w:rsidRPr="007F1D22" w:rsidRDefault="003547D1">
            <w:pPr>
              <w:pBdr>
                <w:top w:val="nil"/>
                <w:left w:val="nil"/>
                <w:bottom w:val="nil"/>
                <w:right w:val="nil"/>
                <w:between w:val="nil"/>
              </w:pBdr>
              <w:spacing w:before="63"/>
              <w:rPr>
                <w:color w:val="000000"/>
                <w:sz w:val="18"/>
                <w:szCs w:val="18"/>
              </w:rPr>
            </w:pPr>
          </w:p>
        </w:tc>
      </w:tr>
      <w:tr w:rsidR="003547D1" w:rsidRPr="007F1D22" w14:paraId="2F4D0260" w14:textId="77777777">
        <w:trPr>
          <w:trHeight w:val="3232"/>
        </w:trPr>
        <w:tc>
          <w:tcPr>
            <w:tcW w:w="3946" w:type="dxa"/>
          </w:tcPr>
          <w:p w14:paraId="7F260313" w14:textId="77777777" w:rsidR="003547D1" w:rsidRPr="007F1D22" w:rsidRDefault="00000000">
            <w:pPr>
              <w:pBdr>
                <w:top w:val="nil"/>
                <w:left w:val="nil"/>
                <w:bottom w:val="nil"/>
                <w:right w:val="nil"/>
                <w:between w:val="nil"/>
              </w:pBdr>
              <w:spacing w:before="63"/>
              <w:rPr>
                <w:color w:val="000000"/>
                <w:sz w:val="18"/>
                <w:szCs w:val="18"/>
              </w:rPr>
            </w:pPr>
            <w:r w:rsidRPr="007F1D22">
              <w:rPr>
                <w:b/>
                <w:color w:val="000000"/>
                <w:sz w:val="18"/>
                <w:szCs w:val="18"/>
              </w:rPr>
              <w:t xml:space="preserve">- (NO) </w:t>
            </w:r>
            <w:r w:rsidRPr="007F1D22">
              <w:rPr>
                <w:color w:val="000000"/>
                <w:sz w:val="18"/>
                <w:szCs w:val="18"/>
              </w:rPr>
              <w:t>disincentivizes achievement</w:t>
            </w:r>
          </w:p>
        </w:tc>
        <w:tc>
          <w:tcPr>
            <w:tcW w:w="1522" w:type="dxa"/>
          </w:tcPr>
          <w:p w14:paraId="7050DD72" w14:textId="4297E50F" w:rsidR="003547D1" w:rsidRPr="007F1D22" w:rsidRDefault="0027433F">
            <w:pPr>
              <w:pBdr>
                <w:top w:val="nil"/>
                <w:left w:val="nil"/>
                <w:bottom w:val="nil"/>
                <w:right w:val="nil"/>
                <w:between w:val="nil"/>
              </w:pBdr>
              <w:spacing w:before="63"/>
              <w:rPr>
                <w:color w:val="000000"/>
                <w:sz w:val="18"/>
                <w:szCs w:val="18"/>
              </w:rPr>
            </w:pPr>
            <w:r>
              <w:rPr>
                <w:b/>
                <w:color w:val="000000"/>
                <w:sz w:val="18"/>
                <w:szCs w:val="18"/>
              </w:rPr>
              <w:t xml:space="preserve">        </w:t>
            </w:r>
            <w:r w:rsidRPr="007F1D22">
              <w:rPr>
                <w:b/>
                <w:sz w:val="18"/>
                <w:szCs w:val="18"/>
              </w:rPr>
              <w:t xml:space="preserve">- </w:t>
            </w:r>
          </w:p>
        </w:tc>
        <w:tc>
          <w:tcPr>
            <w:tcW w:w="7433" w:type="dxa"/>
          </w:tcPr>
          <w:p w14:paraId="694C4DAE" w14:textId="64696071" w:rsidR="003547D1" w:rsidRPr="007F1D22" w:rsidRDefault="00000000">
            <w:pPr>
              <w:pBdr>
                <w:top w:val="nil"/>
                <w:left w:val="nil"/>
                <w:bottom w:val="nil"/>
                <w:right w:val="nil"/>
                <w:between w:val="nil"/>
              </w:pBdr>
              <w:spacing w:before="63"/>
              <w:rPr>
                <w:sz w:val="18"/>
                <w:szCs w:val="18"/>
              </w:rPr>
            </w:pPr>
            <w:r w:rsidRPr="007F1D22">
              <w:rPr>
                <w:sz w:val="18"/>
                <w:szCs w:val="18"/>
              </w:rPr>
              <w:t xml:space="preserve">Overall, the current regulatory framework offers weak financial incentives for cost containment, cost-efficient utility investments, and affordability. Although the extensive use of RACs and frequent biennial reviews may appear to increase accountability, </w:t>
            </w:r>
            <w:proofErr w:type="gramStart"/>
            <w:r w:rsidRPr="007F1D22">
              <w:rPr>
                <w:sz w:val="18"/>
                <w:szCs w:val="18"/>
              </w:rPr>
              <w:t>in reality they</w:t>
            </w:r>
            <w:proofErr w:type="gramEnd"/>
            <w:r w:rsidRPr="007F1D22">
              <w:rPr>
                <w:sz w:val="18"/>
                <w:szCs w:val="18"/>
              </w:rPr>
              <w:t xml:space="preserve"> shield utilities from market-like incentives to keep prices low and disproportionately shift business risk from utility shareholders to customers. SCC reviews, although extremely important, are not enough to replicate market-like incentives for efficient utility management. The Commission does not usually disallow substantial costs, even when evidence is presented by intervenors, and frequent participation in cases is prohibitively expensive for all stakeholders other than the utility. Furthermore, the current connection between least-cost planning and resource acquisition is weak, and the current planning process is not conducive to finding the most cost-effective system solutions. </w:t>
            </w:r>
          </w:p>
        </w:tc>
      </w:tr>
    </w:tbl>
    <w:p w14:paraId="3860E183" w14:textId="77777777" w:rsidR="003547D1" w:rsidRPr="007F1D22" w:rsidRDefault="003547D1">
      <w:pPr>
        <w:pBdr>
          <w:top w:val="nil"/>
          <w:left w:val="nil"/>
          <w:bottom w:val="nil"/>
          <w:right w:val="nil"/>
          <w:between w:val="nil"/>
        </w:pBdr>
        <w:spacing w:before="63"/>
        <w:rPr>
          <w:color w:val="000000"/>
          <w:sz w:val="18"/>
          <w:szCs w:val="18"/>
        </w:rPr>
      </w:pPr>
    </w:p>
    <w:sectPr w:rsidR="003547D1" w:rsidRPr="007F1D22">
      <w:footerReference w:type="default" r:id="rId8"/>
      <w:pgSz w:w="15840" w:h="12240" w:orient="landscape"/>
      <w:pgMar w:top="1380" w:right="1320" w:bottom="280" w:left="13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8C56E6" w14:textId="77777777" w:rsidR="004D4CD1" w:rsidRDefault="004D4CD1">
      <w:r>
        <w:separator/>
      </w:r>
    </w:p>
  </w:endnote>
  <w:endnote w:type="continuationSeparator" w:id="0">
    <w:p w14:paraId="06D8AE3D" w14:textId="77777777" w:rsidR="004D4CD1" w:rsidRDefault="004D4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1" w:fontKey="{EA5F65B9-99E1-3A40-A47F-4277DFAD7CD6}"/>
  </w:font>
  <w:font w:name="Arial">
    <w:panose1 w:val="020B0604020202020204"/>
    <w:charset w:val="00"/>
    <w:family w:val="swiss"/>
    <w:pitch w:val="variable"/>
    <w:sig w:usb0="E0002AFF" w:usb1="C0007843" w:usb2="00000009" w:usb3="00000000" w:csb0="000001FF" w:csb1="00000000"/>
    <w:embedRegular r:id="rId2" w:fontKey="{30F09BF4-9D48-6F41-90BF-C29921FDF7E7}"/>
    <w:embedBold r:id="rId3" w:fontKey="{F8B1A6A8-0A31-F640-8E5A-DD138487FEC5}"/>
    <w:embedItalic r:id="rId4" w:fontKey="{DB3CDFD2-AD39-DD46-A7D3-26679A4ECA70}"/>
  </w:font>
  <w:font w:name="Times New Roman">
    <w:panose1 w:val="02020603050405020304"/>
    <w:charset w:val="00"/>
    <w:family w:val="roman"/>
    <w:pitch w:val="variable"/>
    <w:sig w:usb0="E0002EFF" w:usb1="C000785B" w:usb2="00000009" w:usb3="00000000" w:csb0="000001FF" w:csb1="00000000"/>
    <w:embedRegular r:id="rId5" w:fontKey="{B1BB9CAD-1C62-CE4C-BF49-EC099354B714}"/>
    <w:embedBold r:id="rId6" w:fontKey="{F209D314-FAE5-7F45-BDD0-43378553DF29}"/>
  </w:font>
  <w:font w:name="Georgia">
    <w:panose1 w:val="02040502050405020303"/>
    <w:charset w:val="00"/>
    <w:family w:val="roman"/>
    <w:pitch w:val="variable"/>
    <w:sig w:usb0="00000287" w:usb1="00000000" w:usb2="00000000" w:usb3="00000000" w:csb0="0000009F" w:csb1="00000000"/>
    <w:embedRegular r:id="rId7" w:fontKey="{1E3E4D3D-4930-F947-8080-55A9895A129E}"/>
    <w:embedItalic r:id="rId8" w:fontKey="{2DBD4908-C381-7644-A110-662E9C664950}"/>
  </w:font>
  <w:font w:name="Cambria Math">
    <w:panose1 w:val="02040503050406030204"/>
    <w:charset w:val="00"/>
    <w:family w:val="roman"/>
    <w:pitch w:val="variable"/>
    <w:sig w:usb0="E00002FF" w:usb1="420024FF" w:usb2="00000000" w:usb3="00000000" w:csb0="0000019F" w:csb1="00000000"/>
    <w:embedRegular r:id="rId9" w:fontKey="{D49D82CA-F5AA-1440-8B93-776092F5DD73}"/>
  </w:font>
  <w:font w:name="Cambria">
    <w:panose1 w:val="02040503050406030204"/>
    <w:charset w:val="00"/>
    <w:family w:val="roman"/>
    <w:pitch w:val="variable"/>
    <w:sig w:usb0="E00006FF" w:usb1="420024FF" w:usb2="02000000" w:usb3="00000000" w:csb0="0000019F" w:csb1="00000000"/>
    <w:embedRegular r:id="rId10" w:fontKey="{9593D4D6-BE09-004B-855B-AEE1FB60DA4B}"/>
  </w:font>
  <w:font w:name="Calibri">
    <w:panose1 w:val="020F0502020204030204"/>
    <w:charset w:val="00"/>
    <w:family w:val="swiss"/>
    <w:pitch w:val="variable"/>
    <w:sig w:usb0="E4002EFF" w:usb1="C000247B" w:usb2="00000009" w:usb3="00000000" w:csb0="000001FF" w:csb1="00000000"/>
    <w:embedRegular r:id="rId11" w:fontKey="{666047A7-AEDC-F342-A581-8721812CDA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7CF38" w14:textId="77777777" w:rsidR="003547D1" w:rsidRDefault="003547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B2DAB3" w14:textId="77777777" w:rsidR="004D4CD1" w:rsidRDefault="004D4CD1">
      <w:r>
        <w:separator/>
      </w:r>
    </w:p>
  </w:footnote>
  <w:footnote w:type="continuationSeparator" w:id="0">
    <w:p w14:paraId="34E3DA53" w14:textId="77777777" w:rsidR="004D4CD1" w:rsidRDefault="004D4CD1">
      <w:r>
        <w:continuationSeparator/>
      </w:r>
    </w:p>
  </w:footnote>
  <w:footnote w:id="1">
    <w:p w14:paraId="13567196" w14:textId="77777777" w:rsidR="003547D1" w:rsidRPr="0027433F" w:rsidRDefault="00000000">
      <w:pPr>
        <w:rPr>
          <w:sz w:val="16"/>
          <w:szCs w:val="16"/>
        </w:rPr>
      </w:pPr>
      <w:r>
        <w:rPr>
          <w:rStyle w:val="FootnoteReference"/>
        </w:rPr>
        <w:footnoteRef/>
      </w:r>
      <w:r>
        <w:rPr>
          <w:sz w:val="20"/>
          <w:szCs w:val="20"/>
        </w:rPr>
        <w:t xml:space="preserve"> </w:t>
      </w:r>
      <w:r w:rsidRPr="0027433F">
        <w:rPr>
          <w:sz w:val="16"/>
          <w:szCs w:val="16"/>
        </w:rPr>
        <w:t>SCC Report on the implementation of the Virginia Electric Utility Regulation. November 2024.</w:t>
      </w:r>
    </w:p>
  </w:footnote>
  <w:footnote w:id="2">
    <w:p w14:paraId="7650539E" w14:textId="77777777" w:rsidR="003547D1" w:rsidRPr="0027433F" w:rsidRDefault="00000000">
      <w:pPr>
        <w:rPr>
          <w:sz w:val="16"/>
          <w:szCs w:val="16"/>
        </w:rPr>
      </w:pPr>
      <w:r w:rsidRPr="0027433F">
        <w:rPr>
          <w:rStyle w:val="FootnoteReference"/>
          <w:sz w:val="16"/>
          <w:szCs w:val="16"/>
        </w:rPr>
        <w:footnoteRef/>
      </w:r>
      <w:r w:rsidRPr="0027433F">
        <w:rPr>
          <w:sz w:val="16"/>
          <w:szCs w:val="16"/>
        </w:rPr>
        <w:t xml:space="preserve"> SCC Report on the implementation of the Virginia Electric Utility Regulation. November 2024.</w:t>
      </w:r>
    </w:p>
  </w:footnote>
  <w:footnote w:id="3">
    <w:p w14:paraId="02A4C339" w14:textId="77777777" w:rsidR="003547D1" w:rsidRPr="0027433F" w:rsidRDefault="00000000">
      <w:pPr>
        <w:rPr>
          <w:sz w:val="16"/>
          <w:szCs w:val="16"/>
        </w:rPr>
      </w:pPr>
      <w:r w:rsidRPr="0027433F">
        <w:rPr>
          <w:rStyle w:val="FootnoteReference"/>
          <w:sz w:val="16"/>
          <w:szCs w:val="16"/>
        </w:rPr>
        <w:footnoteRef/>
      </w:r>
      <w:r w:rsidRPr="0027433F">
        <w:rPr>
          <w:sz w:val="16"/>
          <w:szCs w:val="16"/>
        </w:rPr>
        <w:t xml:space="preserve"> Dominion Energy 2024 IRP </w:t>
      </w:r>
    </w:p>
  </w:footnote>
  <w:footnote w:id="4">
    <w:p w14:paraId="05E207B3" w14:textId="77777777" w:rsidR="003547D1" w:rsidRPr="0027433F" w:rsidRDefault="00000000">
      <w:pPr>
        <w:rPr>
          <w:sz w:val="16"/>
          <w:szCs w:val="16"/>
        </w:rPr>
      </w:pPr>
      <w:r w:rsidRPr="0027433F">
        <w:rPr>
          <w:rStyle w:val="FootnoteReference"/>
          <w:sz w:val="16"/>
          <w:szCs w:val="16"/>
        </w:rPr>
        <w:footnoteRef/>
      </w:r>
      <w:r w:rsidRPr="0027433F">
        <w:rPr>
          <w:sz w:val="16"/>
          <w:szCs w:val="16"/>
        </w:rPr>
        <w:t xml:space="preserve"> Mark Lowry et al., “State Performance</w:t>
      </w:r>
      <w:r w:rsidRPr="0027433F">
        <w:rPr>
          <w:rFonts w:ascii="Cambria Math" w:eastAsia="Cambria Math" w:hAnsi="Cambria Math" w:cs="Cambria Math"/>
          <w:sz w:val="16"/>
          <w:szCs w:val="16"/>
        </w:rPr>
        <w:t>‐</w:t>
      </w:r>
      <w:r w:rsidRPr="0027433F">
        <w:rPr>
          <w:sz w:val="16"/>
          <w:szCs w:val="16"/>
        </w:rPr>
        <w:t>Based Regulation Using Multiyear Rate Plans for U.S. Electric Utilities”, Lawrence Berkeley National Laboratory, July 2017.</w:t>
      </w:r>
    </w:p>
  </w:footnote>
  <w:footnote w:id="5">
    <w:p w14:paraId="4B4E1507" w14:textId="77777777" w:rsidR="003547D1" w:rsidRPr="0027433F" w:rsidRDefault="00000000">
      <w:pPr>
        <w:rPr>
          <w:sz w:val="16"/>
          <w:szCs w:val="16"/>
        </w:rPr>
      </w:pPr>
      <w:r w:rsidRPr="0027433F">
        <w:rPr>
          <w:rStyle w:val="FootnoteReference"/>
          <w:sz w:val="16"/>
          <w:szCs w:val="16"/>
        </w:rPr>
        <w:footnoteRef/>
      </w:r>
      <w:r w:rsidRPr="0027433F">
        <w:rPr>
          <w:sz w:val="16"/>
          <w:szCs w:val="16"/>
        </w:rPr>
        <w:t xml:space="preserve"> Investor-owned electric utility regulation in Virginia. Findings &amp; Recommendations of the Electric Utility Regulatory Work Group (2001). </w:t>
      </w:r>
    </w:p>
  </w:footnote>
  <w:footnote w:id="6">
    <w:p w14:paraId="0D898475" w14:textId="77777777" w:rsidR="003547D1" w:rsidRPr="0027433F" w:rsidRDefault="00000000">
      <w:pPr>
        <w:pBdr>
          <w:top w:val="nil"/>
          <w:left w:val="nil"/>
          <w:bottom w:val="nil"/>
          <w:right w:val="nil"/>
          <w:between w:val="nil"/>
        </w:pBdr>
        <w:rPr>
          <w:color w:val="000000"/>
          <w:sz w:val="16"/>
          <w:szCs w:val="16"/>
        </w:rPr>
      </w:pPr>
      <w:r w:rsidRPr="0027433F">
        <w:rPr>
          <w:rStyle w:val="FootnoteReference"/>
          <w:sz w:val="16"/>
          <w:szCs w:val="16"/>
        </w:rPr>
        <w:footnoteRef/>
      </w:r>
      <w:r w:rsidRPr="0027433F">
        <w:rPr>
          <w:color w:val="000000"/>
          <w:sz w:val="16"/>
          <w:szCs w:val="16"/>
        </w:rPr>
        <w:t xml:space="preserve"> SCC Report on the implementation of the Virginia Electric Utility Regulation. November 2024</w:t>
      </w:r>
    </w:p>
  </w:footnote>
  <w:footnote w:id="7">
    <w:p w14:paraId="6FAB434F" w14:textId="77777777" w:rsidR="003547D1" w:rsidRPr="0027433F" w:rsidRDefault="00000000">
      <w:pPr>
        <w:pBdr>
          <w:top w:val="nil"/>
          <w:left w:val="nil"/>
          <w:bottom w:val="nil"/>
          <w:right w:val="nil"/>
          <w:between w:val="nil"/>
        </w:pBdr>
        <w:rPr>
          <w:color w:val="000000"/>
          <w:sz w:val="16"/>
          <w:szCs w:val="16"/>
        </w:rPr>
      </w:pPr>
      <w:r w:rsidRPr="0027433F">
        <w:rPr>
          <w:rStyle w:val="FootnoteReference"/>
          <w:sz w:val="16"/>
          <w:szCs w:val="16"/>
        </w:rPr>
        <w:footnoteRef/>
      </w:r>
      <w:r w:rsidRPr="0027433F">
        <w:rPr>
          <w:color w:val="000000"/>
          <w:sz w:val="16"/>
          <w:szCs w:val="16"/>
        </w:rPr>
        <w:t xml:space="preserve"> AR PSC Staff, Initial Brief Pursuant to Order No. 18, Docket 16</w:t>
      </w:r>
      <w:r w:rsidRPr="0027433F">
        <w:rPr>
          <w:rFonts w:ascii="Cambria Math" w:eastAsia="Cambria Math" w:hAnsi="Cambria Math" w:cs="Cambria Math"/>
          <w:color w:val="000000"/>
          <w:sz w:val="16"/>
          <w:szCs w:val="16"/>
        </w:rPr>
        <w:t>‐</w:t>
      </w:r>
      <w:r w:rsidRPr="0027433F">
        <w:rPr>
          <w:color w:val="000000"/>
          <w:sz w:val="16"/>
          <w:szCs w:val="16"/>
        </w:rPr>
        <w:t>036</w:t>
      </w:r>
      <w:r w:rsidRPr="0027433F">
        <w:rPr>
          <w:rFonts w:ascii="Cambria Math" w:eastAsia="Cambria Math" w:hAnsi="Cambria Math" w:cs="Cambria Math"/>
          <w:color w:val="000000"/>
          <w:sz w:val="16"/>
          <w:szCs w:val="16"/>
        </w:rPr>
        <w:t>‐</w:t>
      </w:r>
      <w:r w:rsidRPr="0027433F">
        <w:rPr>
          <w:color w:val="000000"/>
          <w:sz w:val="16"/>
          <w:szCs w:val="16"/>
        </w:rPr>
        <w:t>FR, January 1, 2019.</w:t>
      </w:r>
    </w:p>
  </w:footnote>
  <w:footnote w:id="8">
    <w:p w14:paraId="1842207E" w14:textId="6B4C9810" w:rsidR="003547D1" w:rsidRPr="0027433F" w:rsidRDefault="00000000">
      <w:pPr>
        <w:pBdr>
          <w:top w:val="nil"/>
          <w:left w:val="nil"/>
          <w:bottom w:val="nil"/>
          <w:right w:val="nil"/>
          <w:between w:val="nil"/>
        </w:pBdr>
        <w:rPr>
          <w:color w:val="000000"/>
          <w:sz w:val="16"/>
          <w:szCs w:val="16"/>
        </w:rPr>
      </w:pPr>
      <w:r w:rsidRPr="0027433F">
        <w:rPr>
          <w:rStyle w:val="FootnoteReference"/>
          <w:sz w:val="16"/>
          <w:szCs w:val="16"/>
        </w:rPr>
        <w:footnoteRef/>
      </w:r>
      <w:r w:rsidRPr="0027433F">
        <w:rPr>
          <w:color w:val="000000"/>
          <w:sz w:val="16"/>
          <w:szCs w:val="16"/>
        </w:rPr>
        <w:t xml:space="preserve"> Maryland Public Service Commission, Order 89226, PC51, August 9, 2019, at 53.</w:t>
      </w:r>
      <w:r w:rsidR="0027433F">
        <w:rPr>
          <w:color w:val="000000"/>
          <w:sz w:val="16"/>
          <w:szCs w:val="16"/>
        </w:rPr>
        <w:t xml:space="preserve"> </w:t>
      </w:r>
    </w:p>
  </w:footnote>
  <w:footnote w:id="9">
    <w:p w14:paraId="3BE53FBD" w14:textId="68171FCF" w:rsidR="003547D1" w:rsidRDefault="00000000">
      <w:pPr>
        <w:pBdr>
          <w:top w:val="nil"/>
          <w:left w:val="nil"/>
          <w:bottom w:val="nil"/>
          <w:right w:val="nil"/>
          <w:between w:val="nil"/>
        </w:pBdr>
        <w:rPr>
          <w:color w:val="000000"/>
          <w:sz w:val="20"/>
          <w:szCs w:val="20"/>
        </w:rPr>
      </w:pPr>
      <w:r w:rsidRPr="0027433F">
        <w:rPr>
          <w:rStyle w:val="FootnoteReference"/>
          <w:sz w:val="16"/>
          <w:szCs w:val="16"/>
        </w:rPr>
        <w:footnoteRef/>
      </w:r>
      <w:r w:rsidRPr="0027433F">
        <w:rPr>
          <w:color w:val="000000"/>
          <w:sz w:val="16"/>
          <w:szCs w:val="16"/>
        </w:rPr>
        <w:t xml:space="preserve"> Profozich</w:t>
      </w:r>
      <w:r w:rsidRPr="0027433F">
        <w:rPr>
          <w:sz w:val="16"/>
          <w:szCs w:val="16"/>
        </w:rPr>
        <w:t xml:space="preserve"> </w:t>
      </w:r>
      <w:r w:rsidRPr="0027433F">
        <w:rPr>
          <w:color w:val="000000"/>
          <w:sz w:val="16"/>
          <w:szCs w:val="16"/>
        </w:rPr>
        <w:t>Russell, Robert Burns, Patrick J Hess, and Kevin Kelly. n.d. “Commis</w:t>
      </w:r>
      <w:r w:rsidRPr="0027433F">
        <w:rPr>
          <w:sz w:val="16"/>
          <w:szCs w:val="16"/>
        </w:rPr>
        <w:t xml:space="preserve">sion Preapproval of Utility Investments” The National Regulatory Research Institute. </w:t>
      </w:r>
      <w:r w:rsidRPr="0027433F">
        <w:rPr>
          <w:color w:val="000000"/>
          <w:sz w:val="16"/>
          <w:szCs w:val="16"/>
        </w:rPr>
        <w:t>https://www.canr.msu.</w:t>
      </w:r>
      <w:r w:rsidRPr="0027433F">
        <w:rPr>
          <w:sz w:val="16"/>
          <w:szCs w:val="16"/>
        </w:rPr>
        <w:t>edu/ipu/uploads/migration/2016/12/Profozich-Burns-Hess-Commission-Preapproval-81-6-Dec-81.pdf.</w:t>
      </w:r>
      <w:r w:rsidR="0027433F">
        <w:rPr>
          <w:color w:val="000000"/>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5275CA"/>
    <w:multiLevelType w:val="multilevel"/>
    <w:tmpl w:val="0B32EAB8"/>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1" w15:restartNumberingAfterBreak="0">
    <w:nsid w:val="7CE5258B"/>
    <w:multiLevelType w:val="multilevel"/>
    <w:tmpl w:val="0FE08522"/>
    <w:lvl w:ilvl="0">
      <w:start w:val="17"/>
      <w:numFmt w:val="bullet"/>
      <w:lvlText w:val="-"/>
      <w:lvlJc w:val="left"/>
      <w:pPr>
        <w:ind w:left="720" w:hanging="360"/>
      </w:pPr>
      <w:rPr>
        <w:rFonts w:ascii="Arial" w:eastAsia="Arial" w:hAnsi="Arial" w:cs="Arial"/>
        <w:b/>
        <w:sz w:val="32"/>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12873038">
    <w:abstractNumId w:val="0"/>
  </w:num>
  <w:num w:numId="2" w16cid:durableId="725447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7D1"/>
    <w:rsid w:val="00225605"/>
    <w:rsid w:val="0027433F"/>
    <w:rsid w:val="002F73E5"/>
    <w:rsid w:val="0031340B"/>
    <w:rsid w:val="003547D1"/>
    <w:rsid w:val="003C4E57"/>
    <w:rsid w:val="004C5651"/>
    <w:rsid w:val="004D4CD1"/>
    <w:rsid w:val="006C783C"/>
    <w:rsid w:val="007F1D22"/>
    <w:rsid w:val="009002A5"/>
    <w:rsid w:val="00AA6ED2"/>
    <w:rsid w:val="00AF48E8"/>
    <w:rsid w:val="00C47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4BD223D"/>
  <w15:docId w15:val="{A5B80AAC-932E-8C41-B70F-C53CAFD9F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70"/>
      <w:ind w:left="713"/>
      <w:jc w:val="center"/>
    </w:pPr>
    <w:rPr>
      <w:sz w:val="40"/>
      <w:szCs w:val="40"/>
    </w:rPr>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39"/>
    <w:rsid w:val="00615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F257D"/>
    <w:rPr>
      <w:sz w:val="16"/>
      <w:szCs w:val="16"/>
    </w:rPr>
  </w:style>
  <w:style w:type="paragraph" w:styleId="CommentText">
    <w:name w:val="annotation text"/>
    <w:basedOn w:val="Normal"/>
    <w:link w:val="CommentTextChar"/>
    <w:uiPriority w:val="99"/>
    <w:unhideWhenUsed/>
    <w:rsid w:val="005F257D"/>
    <w:rPr>
      <w:sz w:val="20"/>
      <w:szCs w:val="20"/>
    </w:rPr>
  </w:style>
  <w:style w:type="character" w:customStyle="1" w:styleId="CommentTextChar">
    <w:name w:val="Comment Text Char"/>
    <w:basedOn w:val="DefaultParagraphFont"/>
    <w:link w:val="CommentText"/>
    <w:uiPriority w:val="99"/>
    <w:rsid w:val="005F257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5F257D"/>
    <w:rPr>
      <w:b/>
      <w:bCs/>
    </w:rPr>
  </w:style>
  <w:style w:type="character" w:customStyle="1" w:styleId="CommentSubjectChar">
    <w:name w:val="Comment Subject Char"/>
    <w:basedOn w:val="CommentTextChar"/>
    <w:link w:val="CommentSubject"/>
    <w:uiPriority w:val="99"/>
    <w:semiHidden/>
    <w:rsid w:val="005F257D"/>
    <w:rPr>
      <w:rFonts w:ascii="Arial" w:eastAsia="Arial" w:hAnsi="Arial" w:cs="Arial"/>
      <w:b/>
      <w:bCs/>
      <w:sz w:val="20"/>
      <w:szCs w:val="20"/>
    </w:rPr>
  </w:style>
  <w:style w:type="paragraph" w:styleId="Revision">
    <w:name w:val="Revision"/>
    <w:hidden/>
    <w:uiPriority w:val="99"/>
    <w:semiHidden/>
    <w:rsid w:val="00DB0C1F"/>
    <w:pPr>
      <w:widowControl/>
    </w:pPr>
  </w:style>
  <w:style w:type="paragraph" w:styleId="NormalWeb">
    <w:name w:val="Normal (Web)"/>
    <w:basedOn w:val="Normal"/>
    <w:uiPriority w:val="99"/>
    <w:semiHidden/>
    <w:unhideWhenUsed/>
    <w:rsid w:val="003D5C0B"/>
    <w:pPr>
      <w:widowControl/>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2031F4"/>
    <w:rPr>
      <w:sz w:val="20"/>
      <w:szCs w:val="20"/>
    </w:rPr>
  </w:style>
  <w:style w:type="character" w:customStyle="1" w:styleId="FootnoteTextChar">
    <w:name w:val="Footnote Text Char"/>
    <w:basedOn w:val="DefaultParagraphFont"/>
    <w:link w:val="FootnoteText"/>
    <w:uiPriority w:val="99"/>
    <w:semiHidden/>
    <w:rsid w:val="002031F4"/>
    <w:rPr>
      <w:rFonts w:ascii="Arial" w:eastAsia="Arial" w:hAnsi="Arial" w:cs="Arial"/>
      <w:sz w:val="20"/>
      <w:szCs w:val="20"/>
    </w:rPr>
  </w:style>
  <w:style w:type="character" w:styleId="FootnoteReference">
    <w:name w:val="footnote reference"/>
    <w:basedOn w:val="DefaultParagraphFont"/>
    <w:uiPriority w:val="99"/>
    <w:semiHidden/>
    <w:unhideWhenUsed/>
    <w:rsid w:val="002031F4"/>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Pr>
  </w:style>
  <w:style w:type="character" w:styleId="Hyperlink">
    <w:name w:val="Hyperlink"/>
    <w:basedOn w:val="DefaultParagraphFont"/>
    <w:uiPriority w:val="99"/>
    <w:unhideWhenUsed/>
    <w:rsid w:val="00FE7393"/>
    <w:rPr>
      <w:color w:val="0000FF" w:themeColor="hyperlink"/>
      <w:u w:val="single"/>
    </w:rPr>
  </w:style>
  <w:style w:type="character" w:styleId="UnresolvedMention">
    <w:name w:val="Unresolved Mention"/>
    <w:basedOn w:val="DefaultParagraphFont"/>
    <w:uiPriority w:val="99"/>
    <w:semiHidden/>
    <w:unhideWhenUsed/>
    <w:rsid w:val="00FE7393"/>
    <w:rPr>
      <w:color w:val="605E5C"/>
      <w:shd w:val="clear" w:color="auto" w:fill="E1DFDD"/>
    </w:r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NLULettzSK43775p4rmSem1dew==">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4875</Words>
  <Characters>27792</Characters>
  <Application>Microsoft Office Word</Application>
  <DocSecurity>0</DocSecurity>
  <Lines>231</Lines>
  <Paragraphs>65</Paragraphs>
  <ScaleCrop>false</ScaleCrop>
  <Company/>
  <LinksUpToDate>false</LinksUpToDate>
  <CharactersWithSpaces>32602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Gorman</dc:creator>
  <cp:lastModifiedBy>Laura Gonzalez</cp:lastModifiedBy>
  <cp:revision>3</cp:revision>
  <dcterms:created xsi:type="dcterms:W3CDTF">2025-03-26T19:38:00Z</dcterms:created>
  <dcterms:modified xsi:type="dcterms:W3CDTF">2025-03-26T19:58:00Z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2025-01-23T00:00:00Z</vt:filetime>
  </property>
  <property fmtid="{D5CDD505-2E9C-101B-9397-08002B2CF9AE}" pid="3" name="Creator">
    <vt:lpwstr>Microsoft Word</vt:lpwstr>
  </property>
  <property fmtid="{D5CDD505-2E9C-101B-9397-08002B2CF9AE}" pid="4" name="LastSaved">
    <vt:filetime>2025-02-18T00:00:00Z</vt:filetime>
  </property>
  <property fmtid="{D5CDD505-2E9C-101B-9397-08002B2CF9AE}" pid="5" name="ContentTypeId">
    <vt:lpwstr>0x0101008FF40A6A3C91D64EA9F4F92C6DA6B971</vt:lpwstr>
  </property>
</Properties>
</file>